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8D4CF" w14:textId="359ABE86" w:rsidR="005D0F34" w:rsidRDefault="005D0F34">
      <w:pPr>
        <w:pStyle w:val="Ttulo10"/>
        <w:rPr>
          <w:sz w:val="32"/>
          <w:szCs w:val="32"/>
          <w:lang w:val="en-US"/>
        </w:rPr>
      </w:pPr>
      <w:r w:rsidRPr="005D0F34">
        <w:rPr>
          <w:sz w:val="32"/>
          <w:szCs w:val="32"/>
          <w:lang w:val="en-US"/>
        </w:rPr>
        <w:t>The title must be concise (not containing more than 100 characters), informative, and must not include a subtitle</w:t>
      </w:r>
    </w:p>
    <w:p w14:paraId="4848E021" w14:textId="0C8BEF21" w:rsidR="0065547F" w:rsidRPr="005D0F34" w:rsidRDefault="005D0F34" w:rsidP="005D0F34">
      <w:pPr>
        <w:pStyle w:val="Ttulo10"/>
        <w:rPr>
          <w:sz w:val="32"/>
          <w:szCs w:val="32"/>
        </w:rPr>
      </w:pPr>
      <w:r w:rsidRPr="005D0F34">
        <w:rPr>
          <w:sz w:val="32"/>
          <w:szCs w:val="32"/>
        </w:rPr>
        <w:t>O título deve ser conciso (não mais que 100 caracteres),</w:t>
      </w:r>
      <w:r>
        <w:rPr>
          <w:sz w:val="32"/>
          <w:szCs w:val="32"/>
        </w:rPr>
        <w:t xml:space="preserve"> </w:t>
      </w:r>
      <w:r w:rsidRPr="005D0F34">
        <w:rPr>
          <w:sz w:val="32"/>
          <w:szCs w:val="32"/>
        </w:rPr>
        <w:t>informativo e não deve incluir legenda</w:t>
      </w:r>
    </w:p>
    <w:p w14:paraId="2ECB22FD" w14:textId="77777777" w:rsidR="002C74ED" w:rsidRPr="005D0F34" w:rsidRDefault="002C74ED"/>
    <w:p w14:paraId="156CAB3B" w14:textId="23260072" w:rsidR="00301654" w:rsidRDefault="0065547F" w:rsidP="005D0F34">
      <w:pPr>
        <w:pStyle w:val="Autores"/>
        <w:numPr>
          <w:ilvl w:val="0"/>
          <w:numId w:val="0"/>
        </w:numPr>
        <w:rPr>
          <w:szCs w:val="22"/>
          <w:lang w:val="en-US"/>
        </w:rPr>
      </w:pPr>
      <w:r w:rsidRPr="0065547F">
        <w:rPr>
          <w:szCs w:val="22"/>
          <w:lang w:val="en-US"/>
        </w:rPr>
        <w:t>Author</w:t>
      </w:r>
      <w:r w:rsidR="005D0F34">
        <w:rPr>
          <w:szCs w:val="22"/>
          <w:lang w:val="en-US"/>
        </w:rPr>
        <w:t xml:space="preserve"> 1 (name)</w:t>
      </w:r>
      <w:r w:rsidR="00301654" w:rsidRPr="0065547F">
        <w:rPr>
          <w:szCs w:val="22"/>
          <w:lang w:val="en-US"/>
        </w:rPr>
        <w:t xml:space="preserve">: </w:t>
      </w:r>
      <w:proofErr w:type="gramStart"/>
      <w:r w:rsidR="005D0F34" w:rsidRPr="005D0F34">
        <w:rPr>
          <w:szCs w:val="22"/>
          <w:lang w:val="en-US"/>
        </w:rPr>
        <w:t>-  Prof.</w:t>
      </w:r>
      <w:proofErr w:type="gramEnd"/>
      <w:r w:rsidR="005D0F34" w:rsidRPr="005D0F34">
        <w:rPr>
          <w:szCs w:val="22"/>
          <w:lang w:val="en-US"/>
        </w:rPr>
        <w:t xml:space="preserve"> Dr., </w:t>
      </w:r>
      <w:proofErr w:type="spellStart"/>
      <w:r w:rsidR="005D0F34" w:rsidRPr="005D0F34">
        <w:rPr>
          <w:szCs w:val="22"/>
          <w:lang w:val="en-US"/>
        </w:rPr>
        <w:t>Dpto</w:t>
      </w:r>
      <w:proofErr w:type="spellEnd"/>
      <w:r w:rsidR="005D0F34" w:rsidRPr="005D0F34">
        <w:rPr>
          <w:szCs w:val="22"/>
          <w:lang w:val="en-US"/>
        </w:rPr>
        <w:t xml:space="preserve"> of Mathematics, UEL, Londrina, </w:t>
      </w:r>
      <w:proofErr w:type="spellStart"/>
      <w:r w:rsidR="005D0F34" w:rsidRPr="005D0F34">
        <w:rPr>
          <w:szCs w:val="22"/>
          <w:lang w:val="en-US"/>
        </w:rPr>
        <w:t>Pr</w:t>
      </w:r>
      <w:proofErr w:type="spellEnd"/>
      <w:r w:rsidR="005D0F34" w:rsidRPr="005D0F34">
        <w:rPr>
          <w:szCs w:val="22"/>
          <w:lang w:val="en-US"/>
        </w:rPr>
        <w:t>, Brazil. E-mail: docente@uel.br (shortly inform their biography)</w:t>
      </w:r>
    </w:p>
    <w:p w14:paraId="38065A6C" w14:textId="184F2ED8" w:rsidR="005D0F34" w:rsidRDefault="005D0F34" w:rsidP="005D0F34">
      <w:pPr>
        <w:pStyle w:val="Autores"/>
        <w:numPr>
          <w:ilvl w:val="0"/>
          <w:numId w:val="0"/>
        </w:numPr>
        <w:rPr>
          <w:szCs w:val="22"/>
          <w:lang w:val="en-US"/>
        </w:rPr>
      </w:pPr>
      <w:r w:rsidRPr="005D0F34">
        <w:rPr>
          <w:szCs w:val="22"/>
          <w:lang w:val="en-US"/>
        </w:rPr>
        <w:t xml:space="preserve">Author2 (name) </w:t>
      </w:r>
      <w:proofErr w:type="gramStart"/>
      <w:r w:rsidRPr="005D0F34">
        <w:rPr>
          <w:szCs w:val="22"/>
          <w:lang w:val="en-US"/>
        </w:rPr>
        <w:t>-  Prof.</w:t>
      </w:r>
      <w:proofErr w:type="gramEnd"/>
      <w:r w:rsidRPr="005D0F34">
        <w:rPr>
          <w:szCs w:val="22"/>
          <w:lang w:val="en-US"/>
        </w:rPr>
        <w:t xml:space="preserve"> Dr., </w:t>
      </w:r>
      <w:proofErr w:type="spellStart"/>
      <w:r w:rsidRPr="005D0F34">
        <w:rPr>
          <w:szCs w:val="22"/>
          <w:lang w:val="en-US"/>
        </w:rPr>
        <w:t>Dpto</w:t>
      </w:r>
      <w:proofErr w:type="spellEnd"/>
      <w:r w:rsidRPr="005D0F34">
        <w:rPr>
          <w:szCs w:val="22"/>
          <w:lang w:val="en-US"/>
        </w:rPr>
        <w:t xml:space="preserve"> of Mathematics, UEL, Londrina, </w:t>
      </w:r>
      <w:proofErr w:type="spellStart"/>
      <w:r w:rsidRPr="005D0F34">
        <w:rPr>
          <w:szCs w:val="22"/>
          <w:lang w:val="en-US"/>
        </w:rPr>
        <w:t>Pr</w:t>
      </w:r>
      <w:proofErr w:type="spellEnd"/>
      <w:r w:rsidRPr="005D0F34">
        <w:rPr>
          <w:szCs w:val="22"/>
          <w:lang w:val="en-US"/>
        </w:rPr>
        <w:t>, Brazil. E-mail: docente@uel.br (shortly inform their biography)</w:t>
      </w:r>
    </w:p>
    <w:p w14:paraId="49321D3C" w14:textId="77777777" w:rsidR="00301654" w:rsidRDefault="00301654" w:rsidP="00301654">
      <w:pPr>
        <w:pStyle w:val="Autores"/>
        <w:numPr>
          <w:ilvl w:val="0"/>
          <w:numId w:val="0"/>
        </w:numPr>
        <w:rPr>
          <w:sz w:val="24"/>
          <w:szCs w:val="24"/>
        </w:rPr>
      </w:pPr>
    </w:p>
    <w:p w14:paraId="08A1BBCE" w14:textId="2ABB81A3" w:rsidR="005D0F34" w:rsidRPr="005D0F34" w:rsidRDefault="005D0F34" w:rsidP="005D0F34">
      <w:pPr>
        <w:pStyle w:val="Autores"/>
        <w:numPr>
          <w:ilvl w:val="0"/>
          <w:numId w:val="0"/>
        </w:numPr>
        <w:jc w:val="left"/>
        <w:rPr>
          <w:b/>
          <w:bCs/>
          <w:sz w:val="24"/>
          <w:szCs w:val="24"/>
        </w:rPr>
      </w:pPr>
      <w:r w:rsidRPr="005D0F34">
        <w:rPr>
          <w:b/>
          <w:bCs/>
          <w:sz w:val="24"/>
          <w:szCs w:val="24"/>
        </w:rPr>
        <w:t>ABSTRACT</w:t>
      </w:r>
    </w:p>
    <w:p w14:paraId="38907003" w14:textId="33C54DAB" w:rsidR="005D0F34" w:rsidRPr="005D0F34" w:rsidRDefault="005D0F34" w:rsidP="005D0F34">
      <w:pPr>
        <w:pStyle w:val="Autores"/>
        <w:numPr>
          <w:ilvl w:val="0"/>
          <w:numId w:val="0"/>
        </w:numPr>
        <w:jc w:val="both"/>
        <w:rPr>
          <w:sz w:val="24"/>
          <w:szCs w:val="24"/>
          <w:lang w:val="en-US"/>
        </w:rPr>
      </w:pPr>
      <w:r w:rsidRPr="005D0F34">
        <w:rPr>
          <w:sz w:val="24"/>
          <w:szCs w:val="24"/>
          <w:lang w:val="en-US"/>
        </w:rPr>
        <w:t>The abstract must be informative and not only indicate the general scope of the article but also the main results obtained, the utilized methods, the value of the work, and the conclusions drawn. Table numbers, figure numbers, references, or mathematical expressions should not be included. Not exceed 200 words. Once the abstract is finished, it is necessary a list of keywords related to a quick reference of the submitted article.</w:t>
      </w:r>
    </w:p>
    <w:p w14:paraId="47A2A98E" w14:textId="28C44C89" w:rsidR="002C74ED" w:rsidRPr="005D0F34" w:rsidRDefault="001D449E" w:rsidP="001D449E">
      <w:pPr>
        <w:pStyle w:val="Resumo"/>
        <w:rPr>
          <w:szCs w:val="18"/>
          <w:lang w:val="en-US"/>
        </w:rPr>
      </w:pPr>
      <w:r w:rsidRPr="00F736D0">
        <w:rPr>
          <w:b/>
          <w:szCs w:val="18"/>
          <w:lang w:val="en-US"/>
        </w:rPr>
        <w:t xml:space="preserve">Keywords: </w:t>
      </w:r>
      <w:r w:rsidR="005D0F34" w:rsidRPr="00F736D0">
        <w:rPr>
          <w:szCs w:val="18"/>
          <w:lang w:val="en-US"/>
        </w:rPr>
        <w:t>keyword 1</w:t>
      </w:r>
      <w:r w:rsidR="005D0F34">
        <w:rPr>
          <w:szCs w:val="18"/>
          <w:lang w:val="en-US"/>
        </w:rPr>
        <w:t>,</w:t>
      </w:r>
      <w:r w:rsidR="005D0F34" w:rsidRPr="00F736D0">
        <w:rPr>
          <w:szCs w:val="18"/>
          <w:lang w:val="en-US"/>
        </w:rPr>
        <w:t xml:space="preserve"> keyword 2</w:t>
      </w:r>
      <w:r w:rsidR="005D0F34">
        <w:rPr>
          <w:szCs w:val="18"/>
          <w:lang w:val="en-US"/>
        </w:rPr>
        <w:t>,</w:t>
      </w:r>
      <w:r w:rsidR="005D0F34" w:rsidRPr="00F736D0">
        <w:rPr>
          <w:szCs w:val="18"/>
          <w:lang w:val="en-US"/>
        </w:rPr>
        <w:t xml:space="preserve"> keyword 3</w:t>
      </w:r>
      <w:r w:rsidR="005D0F34">
        <w:rPr>
          <w:szCs w:val="18"/>
          <w:lang w:val="en-US"/>
        </w:rPr>
        <w:t>,</w:t>
      </w:r>
      <w:r w:rsidR="005D0F34" w:rsidRPr="00F736D0">
        <w:rPr>
          <w:szCs w:val="18"/>
          <w:lang w:val="en-US"/>
        </w:rPr>
        <w:t xml:space="preserve"> keyword 4</w:t>
      </w:r>
      <w:r w:rsidR="005D0F34">
        <w:rPr>
          <w:szCs w:val="18"/>
          <w:lang w:val="en-US"/>
        </w:rPr>
        <w:t>,</w:t>
      </w:r>
      <w:r w:rsidR="005D0F34" w:rsidRPr="00F736D0">
        <w:rPr>
          <w:szCs w:val="18"/>
          <w:lang w:val="en-US"/>
        </w:rPr>
        <w:t xml:space="preserve"> </w:t>
      </w:r>
      <w:r w:rsidR="005D0F34" w:rsidRPr="005D0F34">
        <w:rPr>
          <w:szCs w:val="18"/>
          <w:lang w:val="en-US"/>
        </w:rPr>
        <w:t>keyword 5</w:t>
      </w:r>
    </w:p>
    <w:p w14:paraId="6CCDFB7B" w14:textId="77777777" w:rsidR="005D0F34" w:rsidRDefault="005D0F34" w:rsidP="005D0F34">
      <w:pPr>
        <w:ind w:firstLine="0"/>
        <w:rPr>
          <w:sz w:val="18"/>
          <w:szCs w:val="18"/>
          <w:lang w:val="en-US"/>
        </w:rPr>
      </w:pPr>
    </w:p>
    <w:p w14:paraId="4A7DF133" w14:textId="77777777" w:rsidR="005D0F34" w:rsidRDefault="005D0F34" w:rsidP="005D0F34">
      <w:pPr>
        <w:ind w:firstLine="0"/>
        <w:rPr>
          <w:sz w:val="18"/>
          <w:szCs w:val="18"/>
          <w:lang w:val="en-US"/>
        </w:rPr>
      </w:pPr>
    </w:p>
    <w:p w14:paraId="7258271D" w14:textId="26273DE3" w:rsidR="002C74ED" w:rsidRPr="005D0F34" w:rsidRDefault="005D0F34" w:rsidP="005D0F34">
      <w:pPr>
        <w:ind w:firstLine="0"/>
      </w:pPr>
      <w:r w:rsidRPr="005D0F34">
        <w:t>RESUMO</w:t>
      </w:r>
    </w:p>
    <w:p w14:paraId="01207938" w14:textId="77777777" w:rsidR="005D0F34" w:rsidRPr="005D0F34" w:rsidRDefault="005D0F34"/>
    <w:p w14:paraId="796D66CF" w14:textId="20B1E44F" w:rsidR="005D0F34" w:rsidRPr="005D0F34" w:rsidRDefault="005D0F34" w:rsidP="005D0F34">
      <w:pPr>
        <w:pStyle w:val="Resumo"/>
      </w:pPr>
      <w:r w:rsidRPr="005D0F34">
        <w:t>O resumo deve ser informativo e indicar não só o âmbito geral do artigo, mas também os principais resultados obtidos, os métodos utilizados, o valor do trabalho e as conclusões tiradas. Nenhum número de tabela, número de figura, referência ou expressões matemáticas exibidas devem ser incluídos. Não deve exceder 200 palavras. Após o resumo relacionar as palavras-chave destinadas a uma referência rápida do artigo submetido.</w:t>
      </w:r>
    </w:p>
    <w:p w14:paraId="38CE9F5F" w14:textId="77777777" w:rsidR="005D0F34" w:rsidRPr="005D0F34" w:rsidRDefault="005D0F34" w:rsidP="005D0F34">
      <w:pPr>
        <w:pStyle w:val="Resumo"/>
      </w:pPr>
    </w:p>
    <w:p w14:paraId="4DEFCCDE" w14:textId="36EFDFF0" w:rsidR="002C74ED" w:rsidRPr="005D0F34" w:rsidRDefault="00C532C2" w:rsidP="00FE3234">
      <w:pPr>
        <w:pStyle w:val="Resumo"/>
      </w:pPr>
      <w:r w:rsidRPr="005D0F34">
        <w:rPr>
          <w:b/>
        </w:rPr>
        <w:t>Palavras-chave</w:t>
      </w:r>
      <w:r w:rsidR="00FE3234" w:rsidRPr="005D0F34">
        <w:rPr>
          <w:b/>
        </w:rPr>
        <w:t>:</w:t>
      </w:r>
      <w:r w:rsidR="00FE3234" w:rsidRPr="005D0F34">
        <w:t xml:space="preserve"> </w:t>
      </w:r>
      <w:r w:rsidR="005D0F34" w:rsidRPr="005D0F34">
        <w:t>palavra-chave 1, palavra-chave 2, palavra-chave 3, palavra-chave 4, palavra-chave 5</w:t>
      </w:r>
    </w:p>
    <w:p w14:paraId="4D2E7D84" w14:textId="77777777" w:rsidR="004F5456" w:rsidRDefault="001D449E">
      <w:pPr>
        <w:pStyle w:val="Resumo"/>
        <w:sectPr w:rsidR="004F5456" w:rsidSect="004F5456">
          <w:headerReference w:type="even" r:id="rId7"/>
          <w:headerReference w:type="default" r:id="rId8"/>
          <w:footerReference w:type="default" r:id="rId9"/>
          <w:type w:val="continuous"/>
          <w:pgSz w:w="11907" w:h="16840" w:code="9"/>
          <w:pgMar w:top="1985" w:right="964" w:bottom="1814" w:left="1134" w:header="1418" w:footer="851" w:gutter="0"/>
          <w:cols w:space="170"/>
          <w:titlePg/>
        </w:sectPr>
      </w:pPr>
      <w:r>
        <w:br w:type="page"/>
      </w:r>
    </w:p>
    <w:p w14:paraId="03933386" w14:textId="77777777" w:rsidR="002C74ED" w:rsidRDefault="002C74ED">
      <w:pPr>
        <w:pStyle w:val="Resumo"/>
      </w:pPr>
    </w:p>
    <w:p w14:paraId="66C36915" w14:textId="77777777" w:rsidR="00AA714C" w:rsidRDefault="00AA714C" w:rsidP="00AA714C">
      <w:pPr>
        <w:pStyle w:val="Ttulo1"/>
        <w:numPr>
          <w:ilvl w:val="0"/>
          <w:numId w:val="0"/>
        </w:numPr>
        <w:ind w:left="357" w:hanging="357"/>
        <w:sectPr w:rsidR="00AA714C" w:rsidSect="005641CE">
          <w:type w:val="continuous"/>
          <w:pgSz w:w="11907" w:h="16840" w:code="9"/>
          <w:pgMar w:top="1985" w:right="964" w:bottom="1814" w:left="1134" w:header="1418" w:footer="851" w:gutter="0"/>
          <w:cols w:num="2" w:space="170"/>
          <w:titlePg/>
        </w:sectPr>
      </w:pPr>
    </w:p>
    <w:p w14:paraId="332CA481" w14:textId="77777777" w:rsidR="00AA714C" w:rsidRPr="00AA714C" w:rsidRDefault="00AA714C" w:rsidP="00AA714C">
      <w:pPr>
        <w:pStyle w:val="NormalWeb"/>
        <w:rPr>
          <w:sz w:val="22"/>
          <w:szCs w:val="22"/>
          <w:lang w:val="en-US"/>
        </w:rPr>
      </w:pPr>
      <w:r w:rsidRPr="00AA714C">
        <w:rPr>
          <w:rStyle w:val="Forte"/>
          <w:sz w:val="22"/>
          <w:szCs w:val="22"/>
          <w:lang w:val="en-US"/>
        </w:rPr>
        <w:t>Introduction</w:t>
      </w:r>
    </w:p>
    <w:p w14:paraId="52AFB8A9" w14:textId="77777777" w:rsidR="00AA714C" w:rsidRPr="00AA714C" w:rsidRDefault="00AA714C" w:rsidP="00AA714C">
      <w:pPr>
        <w:pStyle w:val="NormalWeb"/>
        <w:rPr>
          <w:sz w:val="22"/>
          <w:szCs w:val="22"/>
          <w:lang w:val="en-US"/>
        </w:rPr>
      </w:pPr>
      <w:r w:rsidRPr="00AA714C">
        <w:rPr>
          <w:sz w:val="22"/>
          <w:szCs w:val="22"/>
          <w:lang w:val="en-US"/>
        </w:rPr>
        <w:t>The Introduction section must identify the nature of the problem under investigation in relation to its antecedents, in a clear and summarized way, while utilizing relevant references. An introduction that consists of an extended literature review is not acceptable.</w:t>
      </w:r>
    </w:p>
    <w:p w14:paraId="3A4C1665" w14:textId="77777777" w:rsidR="00AA714C" w:rsidRPr="00AA714C" w:rsidRDefault="00AA714C" w:rsidP="00AA714C">
      <w:pPr>
        <w:pStyle w:val="NormalWeb"/>
        <w:rPr>
          <w:sz w:val="22"/>
          <w:szCs w:val="22"/>
        </w:rPr>
      </w:pPr>
      <w:proofErr w:type="spellStart"/>
      <w:r w:rsidRPr="00AA714C">
        <w:rPr>
          <w:rStyle w:val="Forte"/>
          <w:sz w:val="22"/>
          <w:szCs w:val="22"/>
        </w:rPr>
        <w:t>Types</w:t>
      </w:r>
      <w:proofErr w:type="spellEnd"/>
      <w:r w:rsidRPr="00AA714C">
        <w:rPr>
          <w:rStyle w:val="Forte"/>
          <w:sz w:val="22"/>
          <w:szCs w:val="22"/>
        </w:rPr>
        <w:t xml:space="preserve"> </w:t>
      </w:r>
      <w:proofErr w:type="spellStart"/>
      <w:r w:rsidRPr="00AA714C">
        <w:rPr>
          <w:rStyle w:val="Forte"/>
          <w:sz w:val="22"/>
          <w:szCs w:val="22"/>
        </w:rPr>
        <w:t>of</w:t>
      </w:r>
      <w:proofErr w:type="spellEnd"/>
      <w:r w:rsidRPr="00AA714C">
        <w:rPr>
          <w:rStyle w:val="Forte"/>
          <w:sz w:val="22"/>
          <w:szCs w:val="22"/>
        </w:rPr>
        <w:t xml:space="preserve"> </w:t>
      </w:r>
      <w:proofErr w:type="spellStart"/>
      <w:r w:rsidRPr="00AA714C">
        <w:rPr>
          <w:rStyle w:val="Forte"/>
          <w:sz w:val="22"/>
          <w:szCs w:val="22"/>
        </w:rPr>
        <w:t>Articles</w:t>
      </w:r>
      <w:proofErr w:type="spellEnd"/>
      <w:r w:rsidRPr="00AA714C">
        <w:rPr>
          <w:rStyle w:val="Forte"/>
          <w:sz w:val="22"/>
          <w:szCs w:val="22"/>
        </w:rPr>
        <w:t>:</w:t>
      </w:r>
    </w:p>
    <w:p w14:paraId="1403E2DB" w14:textId="77777777" w:rsidR="00AA714C" w:rsidRPr="00AA714C" w:rsidRDefault="00AA714C" w:rsidP="00AA714C">
      <w:pPr>
        <w:numPr>
          <w:ilvl w:val="0"/>
          <w:numId w:val="11"/>
        </w:numPr>
        <w:spacing w:before="100" w:beforeAutospacing="1" w:after="100" w:afterAutospacing="1"/>
        <w:jc w:val="left"/>
        <w:rPr>
          <w:sz w:val="22"/>
          <w:szCs w:val="22"/>
        </w:rPr>
      </w:pPr>
      <w:r w:rsidRPr="00AA714C">
        <w:rPr>
          <w:rStyle w:val="Forte"/>
          <w:sz w:val="22"/>
          <w:szCs w:val="22"/>
        </w:rPr>
        <w:t xml:space="preserve">Original </w:t>
      </w:r>
      <w:proofErr w:type="spellStart"/>
      <w:r w:rsidRPr="00AA714C">
        <w:rPr>
          <w:rStyle w:val="Forte"/>
          <w:sz w:val="22"/>
          <w:szCs w:val="22"/>
        </w:rPr>
        <w:t>articles</w:t>
      </w:r>
      <w:proofErr w:type="spellEnd"/>
      <w:r w:rsidRPr="00AA714C">
        <w:rPr>
          <w:rStyle w:val="Forte"/>
          <w:sz w:val="22"/>
          <w:szCs w:val="22"/>
        </w:rPr>
        <w:t xml:space="preserve">: </w:t>
      </w:r>
      <w:proofErr w:type="spellStart"/>
      <w:r w:rsidRPr="00AA714C">
        <w:rPr>
          <w:rStyle w:val="Forte"/>
          <w:sz w:val="22"/>
          <w:szCs w:val="22"/>
        </w:rPr>
        <w:t>maximum</w:t>
      </w:r>
      <w:proofErr w:type="spellEnd"/>
      <w:r w:rsidRPr="00AA714C">
        <w:rPr>
          <w:rStyle w:val="Forte"/>
          <w:sz w:val="22"/>
          <w:szCs w:val="22"/>
        </w:rPr>
        <w:t xml:space="preserve"> 15 (</w:t>
      </w:r>
      <w:proofErr w:type="spellStart"/>
      <w:r w:rsidRPr="00AA714C">
        <w:rPr>
          <w:rStyle w:val="Forte"/>
          <w:sz w:val="22"/>
          <w:szCs w:val="22"/>
        </w:rPr>
        <w:t>fifteen</w:t>
      </w:r>
      <w:proofErr w:type="spellEnd"/>
      <w:r w:rsidRPr="00AA714C">
        <w:rPr>
          <w:rStyle w:val="Forte"/>
          <w:sz w:val="22"/>
          <w:szCs w:val="22"/>
        </w:rPr>
        <w:t xml:space="preserve">) </w:t>
      </w:r>
      <w:proofErr w:type="spellStart"/>
      <w:r w:rsidRPr="00AA714C">
        <w:rPr>
          <w:rStyle w:val="Forte"/>
          <w:sz w:val="22"/>
          <w:szCs w:val="22"/>
        </w:rPr>
        <w:t>pages</w:t>
      </w:r>
      <w:proofErr w:type="spellEnd"/>
    </w:p>
    <w:p w14:paraId="7422ADF1" w14:textId="77777777" w:rsidR="00AA714C" w:rsidRPr="00AA714C" w:rsidRDefault="00AA714C" w:rsidP="00AA714C">
      <w:pPr>
        <w:numPr>
          <w:ilvl w:val="0"/>
          <w:numId w:val="11"/>
        </w:numPr>
        <w:spacing w:before="100" w:beforeAutospacing="1" w:after="100" w:afterAutospacing="1"/>
        <w:jc w:val="left"/>
        <w:rPr>
          <w:sz w:val="22"/>
          <w:szCs w:val="22"/>
        </w:rPr>
      </w:pPr>
      <w:r w:rsidRPr="00AA714C">
        <w:rPr>
          <w:rStyle w:val="Forte"/>
          <w:sz w:val="22"/>
          <w:szCs w:val="22"/>
        </w:rPr>
        <w:t xml:space="preserve">Review </w:t>
      </w:r>
      <w:proofErr w:type="spellStart"/>
      <w:r w:rsidRPr="00AA714C">
        <w:rPr>
          <w:rStyle w:val="Forte"/>
          <w:sz w:val="22"/>
          <w:szCs w:val="22"/>
        </w:rPr>
        <w:t>articles</w:t>
      </w:r>
      <w:proofErr w:type="spellEnd"/>
      <w:r w:rsidRPr="00AA714C">
        <w:rPr>
          <w:rStyle w:val="Forte"/>
          <w:sz w:val="22"/>
          <w:szCs w:val="22"/>
        </w:rPr>
        <w:t xml:space="preserve">: </w:t>
      </w:r>
      <w:proofErr w:type="spellStart"/>
      <w:r w:rsidRPr="00AA714C">
        <w:rPr>
          <w:rStyle w:val="Forte"/>
          <w:sz w:val="22"/>
          <w:szCs w:val="22"/>
        </w:rPr>
        <w:t>maximum</w:t>
      </w:r>
      <w:proofErr w:type="spellEnd"/>
      <w:r w:rsidRPr="00AA714C">
        <w:rPr>
          <w:rStyle w:val="Forte"/>
          <w:sz w:val="22"/>
          <w:szCs w:val="22"/>
        </w:rPr>
        <w:t xml:space="preserve"> 20 (</w:t>
      </w:r>
      <w:proofErr w:type="spellStart"/>
      <w:r w:rsidRPr="00AA714C">
        <w:rPr>
          <w:rStyle w:val="Forte"/>
          <w:sz w:val="22"/>
          <w:szCs w:val="22"/>
        </w:rPr>
        <w:t>twenty</w:t>
      </w:r>
      <w:proofErr w:type="spellEnd"/>
      <w:r w:rsidRPr="00AA714C">
        <w:rPr>
          <w:rStyle w:val="Forte"/>
          <w:sz w:val="22"/>
          <w:szCs w:val="22"/>
        </w:rPr>
        <w:t xml:space="preserve">) </w:t>
      </w:r>
      <w:proofErr w:type="spellStart"/>
      <w:r w:rsidRPr="00AA714C">
        <w:rPr>
          <w:rStyle w:val="Forte"/>
          <w:sz w:val="22"/>
          <w:szCs w:val="22"/>
        </w:rPr>
        <w:t>pages</w:t>
      </w:r>
      <w:proofErr w:type="spellEnd"/>
    </w:p>
    <w:p w14:paraId="7177F434" w14:textId="77777777" w:rsidR="00AA714C" w:rsidRPr="00AA714C" w:rsidRDefault="00AA714C" w:rsidP="00AA714C">
      <w:pPr>
        <w:pStyle w:val="NormalWeb"/>
        <w:rPr>
          <w:sz w:val="22"/>
          <w:szCs w:val="22"/>
        </w:rPr>
      </w:pPr>
      <w:proofErr w:type="spellStart"/>
      <w:r w:rsidRPr="00AA714C">
        <w:rPr>
          <w:rStyle w:val="Forte"/>
          <w:sz w:val="22"/>
          <w:szCs w:val="22"/>
        </w:rPr>
        <w:t>Materials</w:t>
      </w:r>
      <w:proofErr w:type="spellEnd"/>
      <w:r w:rsidRPr="00AA714C">
        <w:rPr>
          <w:rStyle w:val="Forte"/>
          <w:sz w:val="22"/>
          <w:szCs w:val="22"/>
        </w:rPr>
        <w:t xml:space="preserve"> </w:t>
      </w:r>
      <w:proofErr w:type="spellStart"/>
      <w:r w:rsidRPr="00AA714C">
        <w:rPr>
          <w:rStyle w:val="Forte"/>
          <w:sz w:val="22"/>
          <w:szCs w:val="22"/>
        </w:rPr>
        <w:t>and</w:t>
      </w:r>
      <w:proofErr w:type="spellEnd"/>
      <w:r w:rsidRPr="00AA714C">
        <w:rPr>
          <w:rStyle w:val="Forte"/>
          <w:sz w:val="22"/>
          <w:szCs w:val="22"/>
        </w:rPr>
        <w:t xml:space="preserve"> </w:t>
      </w:r>
      <w:proofErr w:type="spellStart"/>
      <w:r w:rsidRPr="00AA714C">
        <w:rPr>
          <w:rStyle w:val="Forte"/>
          <w:sz w:val="22"/>
          <w:szCs w:val="22"/>
        </w:rPr>
        <w:t>Methods</w:t>
      </w:r>
      <w:proofErr w:type="spellEnd"/>
    </w:p>
    <w:p w14:paraId="21E06042" w14:textId="77777777" w:rsidR="00AA714C" w:rsidRPr="00AA714C" w:rsidRDefault="00AA714C" w:rsidP="00AA714C">
      <w:pPr>
        <w:pStyle w:val="NormalWeb"/>
        <w:rPr>
          <w:sz w:val="22"/>
          <w:szCs w:val="22"/>
          <w:lang w:val="en-US"/>
        </w:rPr>
      </w:pPr>
      <w:r w:rsidRPr="00AA714C">
        <w:rPr>
          <w:sz w:val="22"/>
          <w:szCs w:val="22"/>
          <w:lang w:val="en-US"/>
        </w:rPr>
        <w:t>The section Material and Methods can precede or follow the section Results and Discussion, but they must be separated.</w:t>
      </w:r>
    </w:p>
    <w:p w14:paraId="37D99713" w14:textId="77777777" w:rsidR="00AA714C" w:rsidRPr="00AA714C" w:rsidRDefault="00AA714C" w:rsidP="00AA714C">
      <w:pPr>
        <w:pStyle w:val="NormalWeb"/>
        <w:rPr>
          <w:sz w:val="22"/>
          <w:szCs w:val="22"/>
        </w:rPr>
      </w:pPr>
      <w:proofErr w:type="spellStart"/>
      <w:r w:rsidRPr="00AA714C">
        <w:rPr>
          <w:rStyle w:val="Forte"/>
          <w:sz w:val="22"/>
          <w:szCs w:val="22"/>
        </w:rPr>
        <w:t>Results</w:t>
      </w:r>
      <w:proofErr w:type="spellEnd"/>
      <w:r w:rsidRPr="00AA714C">
        <w:rPr>
          <w:rStyle w:val="Forte"/>
          <w:sz w:val="22"/>
          <w:szCs w:val="22"/>
        </w:rPr>
        <w:t xml:space="preserve"> </w:t>
      </w:r>
      <w:proofErr w:type="spellStart"/>
      <w:r w:rsidRPr="00AA714C">
        <w:rPr>
          <w:rStyle w:val="Forte"/>
          <w:sz w:val="22"/>
          <w:szCs w:val="22"/>
        </w:rPr>
        <w:t>and</w:t>
      </w:r>
      <w:proofErr w:type="spellEnd"/>
      <w:r w:rsidRPr="00AA714C">
        <w:rPr>
          <w:rStyle w:val="Forte"/>
          <w:sz w:val="22"/>
          <w:szCs w:val="22"/>
        </w:rPr>
        <w:t xml:space="preserve"> </w:t>
      </w:r>
      <w:proofErr w:type="spellStart"/>
      <w:r w:rsidRPr="00AA714C">
        <w:rPr>
          <w:rStyle w:val="Forte"/>
          <w:sz w:val="22"/>
          <w:szCs w:val="22"/>
        </w:rPr>
        <w:t>Discussion</w:t>
      </w:r>
      <w:proofErr w:type="spellEnd"/>
    </w:p>
    <w:p w14:paraId="3185783D" w14:textId="77777777" w:rsidR="00AA714C" w:rsidRPr="00AA714C" w:rsidRDefault="00AA714C" w:rsidP="00AA714C">
      <w:pPr>
        <w:pStyle w:val="NormalWeb"/>
        <w:numPr>
          <w:ilvl w:val="0"/>
          <w:numId w:val="12"/>
        </w:numPr>
        <w:rPr>
          <w:sz w:val="22"/>
          <w:szCs w:val="22"/>
        </w:rPr>
      </w:pPr>
      <w:r w:rsidRPr="00AA714C">
        <w:rPr>
          <w:rStyle w:val="Forte"/>
          <w:sz w:val="22"/>
          <w:szCs w:val="22"/>
        </w:rPr>
        <w:t xml:space="preserve">Figures </w:t>
      </w:r>
      <w:proofErr w:type="spellStart"/>
      <w:r w:rsidRPr="00AA714C">
        <w:rPr>
          <w:rStyle w:val="Forte"/>
          <w:sz w:val="22"/>
          <w:szCs w:val="22"/>
        </w:rPr>
        <w:t>and</w:t>
      </w:r>
      <w:proofErr w:type="spellEnd"/>
      <w:r w:rsidRPr="00AA714C">
        <w:rPr>
          <w:rStyle w:val="Forte"/>
          <w:sz w:val="22"/>
          <w:szCs w:val="22"/>
        </w:rPr>
        <w:t xml:space="preserve"> </w:t>
      </w:r>
      <w:proofErr w:type="spellStart"/>
      <w:r w:rsidRPr="00AA714C">
        <w:rPr>
          <w:rStyle w:val="Forte"/>
          <w:sz w:val="22"/>
          <w:szCs w:val="22"/>
        </w:rPr>
        <w:t>Subtitles</w:t>
      </w:r>
      <w:proofErr w:type="spellEnd"/>
      <w:r w:rsidRPr="00AA714C">
        <w:rPr>
          <w:rStyle w:val="Forte"/>
          <w:sz w:val="22"/>
          <w:szCs w:val="22"/>
        </w:rPr>
        <w:t>:</w:t>
      </w:r>
    </w:p>
    <w:p w14:paraId="686288CF"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Include figures in the text with titles and subtitles, following their appearance order.</w:t>
      </w:r>
    </w:p>
    <w:p w14:paraId="2727666F"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Explicitly reference each figure in numerical order (e.g., Figure 1, Figure 2(a), Figure 2(b), etc.).</w:t>
      </w:r>
    </w:p>
    <w:p w14:paraId="2D91861E"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Place the figure title on top of the figure.</w:t>
      </w:r>
    </w:p>
    <w:p w14:paraId="42D305EA"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Subtitles should be concise, preferably appearing in a box on the figure or in the title.</w:t>
      </w:r>
    </w:p>
    <w:p w14:paraId="3496B3C1" w14:textId="77777777" w:rsidR="00AA714C" w:rsidRPr="00AA714C" w:rsidRDefault="00AA714C" w:rsidP="00AA714C">
      <w:pPr>
        <w:pStyle w:val="NormalWeb"/>
        <w:numPr>
          <w:ilvl w:val="0"/>
          <w:numId w:val="12"/>
        </w:numPr>
        <w:rPr>
          <w:sz w:val="22"/>
          <w:szCs w:val="22"/>
        </w:rPr>
      </w:pPr>
      <w:r w:rsidRPr="00AA714C">
        <w:rPr>
          <w:rStyle w:val="Forte"/>
          <w:sz w:val="22"/>
          <w:szCs w:val="22"/>
        </w:rPr>
        <w:t xml:space="preserve">File Format for </w:t>
      </w:r>
      <w:proofErr w:type="spellStart"/>
      <w:r w:rsidRPr="00AA714C">
        <w:rPr>
          <w:rStyle w:val="Forte"/>
          <w:sz w:val="22"/>
          <w:szCs w:val="22"/>
        </w:rPr>
        <w:t>Illustrations</w:t>
      </w:r>
      <w:proofErr w:type="spellEnd"/>
      <w:r w:rsidRPr="00AA714C">
        <w:rPr>
          <w:rStyle w:val="Forte"/>
          <w:sz w:val="22"/>
          <w:szCs w:val="22"/>
        </w:rPr>
        <w:t>:</w:t>
      </w:r>
    </w:p>
    <w:p w14:paraId="147AD379"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Provide a .zip or .tar file containing high-definition (.</w:t>
      </w:r>
      <w:proofErr w:type="spellStart"/>
      <w:r w:rsidRPr="00AA714C">
        <w:rPr>
          <w:sz w:val="22"/>
          <w:szCs w:val="22"/>
          <w:lang w:val="en-US"/>
        </w:rPr>
        <w:t>png</w:t>
      </w:r>
      <w:proofErr w:type="spellEnd"/>
      <w:r w:rsidRPr="00AA714C">
        <w:rPr>
          <w:sz w:val="22"/>
          <w:szCs w:val="22"/>
          <w:lang w:val="en-US"/>
        </w:rPr>
        <w:t xml:space="preserve"> format, minimum 300 dpi) illustrations.</w:t>
      </w:r>
    </w:p>
    <w:p w14:paraId="470F9310"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Name individual files in the order they appear in the text (e.g., Fig1.png, Fig2.png).</w:t>
      </w:r>
    </w:p>
    <w:p w14:paraId="3B8998F1" w14:textId="77777777" w:rsidR="00AA714C" w:rsidRPr="00AA714C" w:rsidRDefault="00AA714C" w:rsidP="00AA714C">
      <w:pPr>
        <w:pStyle w:val="NormalWeb"/>
        <w:numPr>
          <w:ilvl w:val="0"/>
          <w:numId w:val="12"/>
        </w:numPr>
        <w:rPr>
          <w:sz w:val="22"/>
          <w:szCs w:val="22"/>
        </w:rPr>
      </w:pPr>
      <w:proofErr w:type="spellStart"/>
      <w:r w:rsidRPr="00AA714C">
        <w:rPr>
          <w:rStyle w:val="Forte"/>
          <w:sz w:val="22"/>
          <w:szCs w:val="22"/>
        </w:rPr>
        <w:t>Copyrighted</w:t>
      </w:r>
      <w:proofErr w:type="spellEnd"/>
      <w:r w:rsidRPr="00AA714C">
        <w:rPr>
          <w:rStyle w:val="Forte"/>
          <w:sz w:val="22"/>
          <w:szCs w:val="22"/>
        </w:rPr>
        <w:t xml:space="preserve"> Material:</w:t>
      </w:r>
    </w:p>
    <w:p w14:paraId="28BD1E02"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If using copyrighted material, obtain written permission from the owners to reproduce the illustrations.</w:t>
      </w:r>
    </w:p>
    <w:p w14:paraId="7A34FF00"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Clearly indicate the source of the illustration and include the phrase "Reproduced from..." in the illustration.</w:t>
      </w:r>
    </w:p>
    <w:p w14:paraId="5E279FC1" w14:textId="77777777" w:rsidR="00AA714C" w:rsidRPr="00AA714C" w:rsidRDefault="00AA714C" w:rsidP="00AA714C">
      <w:pPr>
        <w:pStyle w:val="NormalWeb"/>
        <w:numPr>
          <w:ilvl w:val="0"/>
          <w:numId w:val="12"/>
        </w:numPr>
        <w:rPr>
          <w:sz w:val="22"/>
          <w:szCs w:val="22"/>
        </w:rPr>
      </w:pPr>
      <w:proofErr w:type="spellStart"/>
      <w:r w:rsidRPr="00AA714C">
        <w:rPr>
          <w:rStyle w:val="Forte"/>
          <w:sz w:val="22"/>
          <w:szCs w:val="22"/>
        </w:rPr>
        <w:t>Tables</w:t>
      </w:r>
      <w:proofErr w:type="spellEnd"/>
      <w:r w:rsidRPr="00AA714C">
        <w:rPr>
          <w:rStyle w:val="Forte"/>
          <w:sz w:val="22"/>
          <w:szCs w:val="22"/>
        </w:rPr>
        <w:t>:</w:t>
      </w:r>
    </w:p>
    <w:p w14:paraId="31289996"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Include tables in the text with explanatory titles for the presented data.</w:t>
      </w:r>
    </w:p>
    <w:p w14:paraId="7D98ED99"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Reference each table in numerical order (e.g., Table 1, Table 2).</w:t>
      </w:r>
    </w:p>
    <w:p w14:paraId="6EE00C2D" w14:textId="77777777" w:rsidR="00AA714C" w:rsidRPr="00AA714C" w:rsidRDefault="00AA714C" w:rsidP="00AA714C">
      <w:pPr>
        <w:pStyle w:val="NormalWeb"/>
        <w:ind w:left="1440"/>
        <w:rPr>
          <w:sz w:val="22"/>
          <w:szCs w:val="22"/>
        </w:rPr>
      </w:pPr>
      <w:proofErr w:type="spellStart"/>
      <w:r w:rsidRPr="00AA714C">
        <w:rPr>
          <w:sz w:val="22"/>
          <w:szCs w:val="22"/>
        </w:rPr>
        <w:t>Example</w:t>
      </w:r>
      <w:proofErr w:type="spellEnd"/>
      <w:r w:rsidRPr="00AA714C">
        <w:rPr>
          <w:sz w:val="22"/>
          <w:szCs w:val="22"/>
        </w:rPr>
        <w:t xml:space="preserve"> </w:t>
      </w:r>
      <w:proofErr w:type="spellStart"/>
      <w:r w:rsidRPr="00AA714C">
        <w:rPr>
          <w:sz w:val="22"/>
          <w:szCs w:val="22"/>
        </w:rPr>
        <w:t>table</w:t>
      </w:r>
      <w:proofErr w:type="spellEnd"/>
      <w:r w:rsidRPr="00AA714C">
        <w:rPr>
          <w:sz w:val="22"/>
          <w:szCs w:val="22"/>
        </w:rPr>
        <w:t>:</w:t>
      </w:r>
    </w:p>
    <w:tbl>
      <w:tblPr>
        <w:tblW w:w="0" w:type="auto"/>
        <w:tblCellSpacing w:w="15" w:type="dxa"/>
        <w:tblInd w:w="1440" w:type="dxa"/>
        <w:tblLayout w:type="fixed"/>
        <w:tblCellMar>
          <w:top w:w="15" w:type="dxa"/>
          <w:left w:w="15" w:type="dxa"/>
          <w:bottom w:w="15" w:type="dxa"/>
          <w:right w:w="15" w:type="dxa"/>
        </w:tblCellMar>
        <w:tblLook w:val="04A0" w:firstRow="1" w:lastRow="0" w:firstColumn="1" w:lastColumn="0" w:noHBand="0" w:noVBand="1"/>
      </w:tblPr>
      <w:tblGrid>
        <w:gridCol w:w="712"/>
        <w:gridCol w:w="1808"/>
        <w:gridCol w:w="1350"/>
      </w:tblGrid>
      <w:tr w:rsidR="00AA714C" w:rsidRPr="00AA714C" w14:paraId="2C640475" w14:textId="77777777" w:rsidTr="00AA714C">
        <w:trPr>
          <w:tblHeader/>
          <w:tblCellSpacing w:w="15" w:type="dxa"/>
        </w:trPr>
        <w:tc>
          <w:tcPr>
            <w:tcW w:w="667" w:type="dxa"/>
            <w:tcBorders>
              <w:top w:val="single" w:sz="4" w:space="0" w:color="auto"/>
              <w:bottom w:val="single" w:sz="4" w:space="0" w:color="auto"/>
            </w:tcBorders>
            <w:vAlign w:val="center"/>
            <w:hideMark/>
          </w:tcPr>
          <w:p w14:paraId="24401575" w14:textId="0C2E7DBE" w:rsidR="00AA714C" w:rsidRPr="00AA714C" w:rsidRDefault="00AA714C">
            <w:pPr>
              <w:jc w:val="center"/>
              <w:rPr>
                <w:b/>
                <w:bCs/>
                <w:sz w:val="22"/>
                <w:szCs w:val="22"/>
              </w:rPr>
            </w:pPr>
            <w:proofErr w:type="spellStart"/>
            <w:r w:rsidRPr="00AA714C">
              <w:rPr>
                <w:b/>
                <w:bCs/>
                <w:sz w:val="22"/>
                <w:szCs w:val="22"/>
              </w:rPr>
              <w:t>name</w:t>
            </w:r>
            <w:proofErr w:type="spellEnd"/>
          </w:p>
        </w:tc>
        <w:tc>
          <w:tcPr>
            <w:tcW w:w="1778" w:type="dxa"/>
            <w:tcBorders>
              <w:top w:val="single" w:sz="4" w:space="0" w:color="auto"/>
              <w:bottom w:val="single" w:sz="4" w:space="0" w:color="auto"/>
            </w:tcBorders>
            <w:vAlign w:val="center"/>
            <w:hideMark/>
          </w:tcPr>
          <w:p w14:paraId="4983EDC3" w14:textId="5E15CAD9" w:rsidR="00AA714C" w:rsidRPr="00AA714C" w:rsidRDefault="00AA714C">
            <w:pPr>
              <w:jc w:val="center"/>
              <w:rPr>
                <w:b/>
                <w:bCs/>
                <w:sz w:val="22"/>
                <w:szCs w:val="22"/>
              </w:rPr>
            </w:pPr>
            <w:proofErr w:type="spellStart"/>
            <w:r w:rsidRPr="00AA714C">
              <w:rPr>
                <w:b/>
                <w:bCs/>
                <w:sz w:val="22"/>
                <w:szCs w:val="22"/>
              </w:rPr>
              <w:t>name</w:t>
            </w:r>
            <w:proofErr w:type="spellEnd"/>
          </w:p>
        </w:tc>
        <w:tc>
          <w:tcPr>
            <w:tcW w:w="1305" w:type="dxa"/>
            <w:tcBorders>
              <w:top w:val="single" w:sz="4" w:space="0" w:color="auto"/>
              <w:bottom w:val="single" w:sz="4" w:space="0" w:color="auto"/>
            </w:tcBorders>
            <w:vAlign w:val="center"/>
            <w:hideMark/>
          </w:tcPr>
          <w:p w14:paraId="65453DE2" w14:textId="4074D2B8" w:rsidR="00AA714C" w:rsidRPr="00AA714C" w:rsidRDefault="00AA714C">
            <w:pPr>
              <w:jc w:val="center"/>
              <w:rPr>
                <w:b/>
                <w:bCs/>
                <w:sz w:val="22"/>
                <w:szCs w:val="22"/>
              </w:rPr>
            </w:pPr>
            <w:proofErr w:type="spellStart"/>
            <w:r w:rsidRPr="00AA714C">
              <w:rPr>
                <w:b/>
                <w:bCs/>
                <w:sz w:val="22"/>
                <w:szCs w:val="22"/>
              </w:rPr>
              <w:t>name</w:t>
            </w:r>
            <w:proofErr w:type="spellEnd"/>
          </w:p>
        </w:tc>
      </w:tr>
      <w:tr w:rsidR="00AA714C" w:rsidRPr="00AA714C" w14:paraId="01CEAF5C" w14:textId="77777777" w:rsidTr="00AA714C">
        <w:trPr>
          <w:tblCellSpacing w:w="15" w:type="dxa"/>
        </w:trPr>
        <w:tc>
          <w:tcPr>
            <w:tcW w:w="667" w:type="dxa"/>
            <w:vAlign w:val="center"/>
            <w:hideMark/>
          </w:tcPr>
          <w:p w14:paraId="140BD1ED" w14:textId="77777777" w:rsidR="00AA714C" w:rsidRPr="00AA714C" w:rsidRDefault="00AA714C" w:rsidP="00AA714C">
            <w:pPr>
              <w:jc w:val="center"/>
              <w:rPr>
                <w:sz w:val="22"/>
                <w:szCs w:val="22"/>
              </w:rPr>
            </w:pPr>
            <w:r w:rsidRPr="00AA714C">
              <w:rPr>
                <w:sz w:val="22"/>
                <w:szCs w:val="22"/>
              </w:rPr>
              <w:t>A</w:t>
            </w:r>
          </w:p>
        </w:tc>
        <w:tc>
          <w:tcPr>
            <w:tcW w:w="1778" w:type="dxa"/>
            <w:vAlign w:val="center"/>
            <w:hideMark/>
          </w:tcPr>
          <w:p w14:paraId="24812746" w14:textId="77777777" w:rsidR="00AA714C" w:rsidRPr="00AA714C" w:rsidRDefault="00AA714C" w:rsidP="00AA714C">
            <w:pPr>
              <w:jc w:val="center"/>
              <w:rPr>
                <w:sz w:val="22"/>
                <w:szCs w:val="22"/>
              </w:rPr>
            </w:pPr>
            <w:r w:rsidRPr="00AA714C">
              <w:rPr>
                <w:sz w:val="22"/>
                <w:szCs w:val="22"/>
              </w:rPr>
              <w:t>23</w:t>
            </w:r>
          </w:p>
        </w:tc>
        <w:tc>
          <w:tcPr>
            <w:tcW w:w="1305" w:type="dxa"/>
            <w:vAlign w:val="center"/>
            <w:hideMark/>
          </w:tcPr>
          <w:p w14:paraId="09CC686C" w14:textId="77777777" w:rsidR="00AA714C" w:rsidRPr="00AA714C" w:rsidRDefault="00AA714C" w:rsidP="00AA714C">
            <w:pPr>
              <w:jc w:val="center"/>
              <w:rPr>
                <w:sz w:val="22"/>
                <w:szCs w:val="22"/>
              </w:rPr>
            </w:pPr>
            <w:r w:rsidRPr="00AA714C">
              <w:rPr>
                <w:sz w:val="22"/>
                <w:szCs w:val="22"/>
              </w:rPr>
              <w:t>-</w:t>
            </w:r>
          </w:p>
        </w:tc>
      </w:tr>
      <w:tr w:rsidR="00AA714C" w:rsidRPr="00AA714C" w14:paraId="20E38889" w14:textId="77777777" w:rsidTr="00AA714C">
        <w:trPr>
          <w:tblCellSpacing w:w="15" w:type="dxa"/>
        </w:trPr>
        <w:tc>
          <w:tcPr>
            <w:tcW w:w="667" w:type="dxa"/>
            <w:vAlign w:val="center"/>
            <w:hideMark/>
          </w:tcPr>
          <w:p w14:paraId="712A11C5" w14:textId="77777777" w:rsidR="00AA714C" w:rsidRPr="00AA714C" w:rsidRDefault="00AA714C" w:rsidP="00AA714C">
            <w:pPr>
              <w:jc w:val="center"/>
              <w:rPr>
                <w:sz w:val="22"/>
                <w:szCs w:val="22"/>
              </w:rPr>
            </w:pPr>
            <w:r w:rsidRPr="00AA714C">
              <w:rPr>
                <w:sz w:val="22"/>
                <w:szCs w:val="22"/>
              </w:rPr>
              <w:t>B</w:t>
            </w:r>
          </w:p>
        </w:tc>
        <w:tc>
          <w:tcPr>
            <w:tcW w:w="1778" w:type="dxa"/>
            <w:vAlign w:val="center"/>
            <w:hideMark/>
          </w:tcPr>
          <w:p w14:paraId="75F898FE" w14:textId="77777777" w:rsidR="00AA714C" w:rsidRPr="00AA714C" w:rsidRDefault="00AA714C" w:rsidP="00AA714C">
            <w:pPr>
              <w:jc w:val="center"/>
              <w:rPr>
                <w:sz w:val="22"/>
                <w:szCs w:val="22"/>
              </w:rPr>
            </w:pPr>
            <w:r w:rsidRPr="00AA714C">
              <w:rPr>
                <w:sz w:val="22"/>
                <w:szCs w:val="22"/>
              </w:rPr>
              <w:t>200</w:t>
            </w:r>
          </w:p>
        </w:tc>
        <w:tc>
          <w:tcPr>
            <w:tcW w:w="1305" w:type="dxa"/>
            <w:vAlign w:val="center"/>
            <w:hideMark/>
          </w:tcPr>
          <w:p w14:paraId="5D1244BA" w14:textId="77777777" w:rsidR="00AA714C" w:rsidRPr="00AA714C" w:rsidRDefault="00AA714C" w:rsidP="00AA714C">
            <w:pPr>
              <w:jc w:val="center"/>
              <w:rPr>
                <w:sz w:val="22"/>
                <w:szCs w:val="22"/>
              </w:rPr>
            </w:pPr>
            <w:r w:rsidRPr="00AA714C">
              <w:rPr>
                <w:sz w:val="22"/>
                <w:szCs w:val="22"/>
              </w:rPr>
              <w:t>50</w:t>
            </w:r>
          </w:p>
        </w:tc>
      </w:tr>
      <w:tr w:rsidR="00AA714C" w:rsidRPr="00AA714C" w14:paraId="14166C00" w14:textId="77777777" w:rsidTr="00AA714C">
        <w:trPr>
          <w:tblCellSpacing w:w="15" w:type="dxa"/>
        </w:trPr>
        <w:tc>
          <w:tcPr>
            <w:tcW w:w="667" w:type="dxa"/>
            <w:vAlign w:val="center"/>
            <w:hideMark/>
          </w:tcPr>
          <w:p w14:paraId="53F9B800" w14:textId="77777777" w:rsidR="00AA714C" w:rsidRPr="00AA714C" w:rsidRDefault="00AA714C" w:rsidP="00AA714C">
            <w:pPr>
              <w:jc w:val="center"/>
              <w:rPr>
                <w:sz w:val="22"/>
                <w:szCs w:val="22"/>
              </w:rPr>
            </w:pPr>
            <w:r w:rsidRPr="00AA714C">
              <w:rPr>
                <w:sz w:val="22"/>
                <w:szCs w:val="22"/>
              </w:rPr>
              <w:t>C</w:t>
            </w:r>
          </w:p>
        </w:tc>
        <w:tc>
          <w:tcPr>
            <w:tcW w:w="1778" w:type="dxa"/>
            <w:vAlign w:val="center"/>
            <w:hideMark/>
          </w:tcPr>
          <w:p w14:paraId="2E14B5BD" w14:textId="77777777" w:rsidR="00AA714C" w:rsidRPr="00AA714C" w:rsidRDefault="00AA714C" w:rsidP="00AA714C">
            <w:pPr>
              <w:jc w:val="center"/>
              <w:rPr>
                <w:sz w:val="22"/>
                <w:szCs w:val="22"/>
              </w:rPr>
            </w:pPr>
            <w:r w:rsidRPr="00AA714C">
              <w:rPr>
                <w:sz w:val="22"/>
                <w:szCs w:val="22"/>
              </w:rPr>
              <w:t>200</w:t>
            </w:r>
          </w:p>
        </w:tc>
        <w:tc>
          <w:tcPr>
            <w:tcW w:w="1305" w:type="dxa"/>
            <w:vAlign w:val="center"/>
            <w:hideMark/>
          </w:tcPr>
          <w:p w14:paraId="6B8CD00D" w14:textId="77777777" w:rsidR="00AA714C" w:rsidRPr="00AA714C" w:rsidRDefault="00AA714C" w:rsidP="00AA714C">
            <w:pPr>
              <w:jc w:val="center"/>
              <w:rPr>
                <w:sz w:val="22"/>
                <w:szCs w:val="22"/>
              </w:rPr>
            </w:pPr>
            <w:r w:rsidRPr="00AA714C">
              <w:rPr>
                <w:sz w:val="22"/>
                <w:szCs w:val="22"/>
              </w:rPr>
              <w:t>20</w:t>
            </w:r>
          </w:p>
        </w:tc>
      </w:tr>
      <w:tr w:rsidR="00AA714C" w:rsidRPr="00AA714C" w14:paraId="388D6E7A" w14:textId="77777777" w:rsidTr="00AA714C">
        <w:trPr>
          <w:tblCellSpacing w:w="15" w:type="dxa"/>
        </w:trPr>
        <w:tc>
          <w:tcPr>
            <w:tcW w:w="667" w:type="dxa"/>
            <w:vAlign w:val="center"/>
            <w:hideMark/>
          </w:tcPr>
          <w:p w14:paraId="3B39F76B" w14:textId="77777777" w:rsidR="00AA714C" w:rsidRPr="00AA714C" w:rsidRDefault="00AA714C" w:rsidP="00AA714C">
            <w:pPr>
              <w:jc w:val="center"/>
              <w:rPr>
                <w:sz w:val="22"/>
                <w:szCs w:val="22"/>
              </w:rPr>
            </w:pPr>
            <w:r w:rsidRPr="00AA714C">
              <w:rPr>
                <w:sz w:val="22"/>
                <w:szCs w:val="22"/>
              </w:rPr>
              <w:t>D</w:t>
            </w:r>
          </w:p>
        </w:tc>
        <w:tc>
          <w:tcPr>
            <w:tcW w:w="1778" w:type="dxa"/>
            <w:vAlign w:val="center"/>
            <w:hideMark/>
          </w:tcPr>
          <w:p w14:paraId="39D59F49" w14:textId="77777777" w:rsidR="00AA714C" w:rsidRPr="00AA714C" w:rsidRDefault="00AA714C" w:rsidP="00AA714C">
            <w:pPr>
              <w:jc w:val="center"/>
              <w:rPr>
                <w:sz w:val="22"/>
                <w:szCs w:val="22"/>
              </w:rPr>
            </w:pPr>
            <w:r w:rsidRPr="00AA714C">
              <w:rPr>
                <w:sz w:val="22"/>
                <w:szCs w:val="22"/>
              </w:rPr>
              <w:t>400</w:t>
            </w:r>
          </w:p>
        </w:tc>
        <w:tc>
          <w:tcPr>
            <w:tcW w:w="1305" w:type="dxa"/>
            <w:vAlign w:val="center"/>
            <w:hideMark/>
          </w:tcPr>
          <w:p w14:paraId="534C7E13" w14:textId="77777777" w:rsidR="00AA714C" w:rsidRPr="00AA714C" w:rsidRDefault="00AA714C" w:rsidP="00AA714C">
            <w:pPr>
              <w:jc w:val="center"/>
              <w:rPr>
                <w:sz w:val="22"/>
                <w:szCs w:val="22"/>
              </w:rPr>
            </w:pPr>
            <w:r w:rsidRPr="00AA714C">
              <w:rPr>
                <w:sz w:val="22"/>
                <w:szCs w:val="22"/>
              </w:rPr>
              <w:t>10</w:t>
            </w:r>
          </w:p>
        </w:tc>
      </w:tr>
      <w:tr w:rsidR="00AA714C" w:rsidRPr="00AA714C" w14:paraId="72151256" w14:textId="77777777" w:rsidTr="00AA714C">
        <w:trPr>
          <w:tblCellSpacing w:w="15" w:type="dxa"/>
        </w:trPr>
        <w:tc>
          <w:tcPr>
            <w:tcW w:w="667" w:type="dxa"/>
            <w:vAlign w:val="center"/>
            <w:hideMark/>
          </w:tcPr>
          <w:p w14:paraId="24D4146A" w14:textId="77777777" w:rsidR="00AA714C" w:rsidRPr="00AA714C" w:rsidRDefault="00AA714C" w:rsidP="00AA714C">
            <w:pPr>
              <w:jc w:val="center"/>
              <w:rPr>
                <w:sz w:val="22"/>
                <w:szCs w:val="22"/>
              </w:rPr>
            </w:pPr>
            <w:r w:rsidRPr="00AA714C">
              <w:rPr>
                <w:sz w:val="22"/>
                <w:szCs w:val="22"/>
              </w:rPr>
              <w:t>E</w:t>
            </w:r>
          </w:p>
        </w:tc>
        <w:tc>
          <w:tcPr>
            <w:tcW w:w="1778" w:type="dxa"/>
            <w:vAlign w:val="center"/>
            <w:hideMark/>
          </w:tcPr>
          <w:p w14:paraId="771FF508" w14:textId="77777777" w:rsidR="00AA714C" w:rsidRPr="00AA714C" w:rsidRDefault="00AA714C" w:rsidP="00AA714C">
            <w:pPr>
              <w:jc w:val="center"/>
              <w:rPr>
                <w:sz w:val="22"/>
                <w:szCs w:val="22"/>
              </w:rPr>
            </w:pPr>
            <w:r w:rsidRPr="00AA714C">
              <w:rPr>
                <w:sz w:val="22"/>
                <w:szCs w:val="22"/>
              </w:rPr>
              <w:t>400</w:t>
            </w:r>
          </w:p>
        </w:tc>
        <w:tc>
          <w:tcPr>
            <w:tcW w:w="1305" w:type="dxa"/>
            <w:vAlign w:val="center"/>
            <w:hideMark/>
          </w:tcPr>
          <w:p w14:paraId="20081B89" w14:textId="77777777" w:rsidR="00AA714C" w:rsidRPr="00AA714C" w:rsidRDefault="00AA714C" w:rsidP="00AA714C">
            <w:pPr>
              <w:jc w:val="center"/>
              <w:rPr>
                <w:sz w:val="22"/>
                <w:szCs w:val="22"/>
              </w:rPr>
            </w:pPr>
            <w:r w:rsidRPr="00AA714C">
              <w:rPr>
                <w:sz w:val="22"/>
                <w:szCs w:val="22"/>
              </w:rPr>
              <w:t>5</w:t>
            </w:r>
          </w:p>
        </w:tc>
      </w:tr>
      <w:tr w:rsidR="00AA714C" w:rsidRPr="00AA714C" w14:paraId="0076B45A" w14:textId="77777777" w:rsidTr="00AA714C">
        <w:trPr>
          <w:tblCellSpacing w:w="15" w:type="dxa"/>
        </w:trPr>
        <w:tc>
          <w:tcPr>
            <w:tcW w:w="667" w:type="dxa"/>
            <w:tcBorders>
              <w:bottom w:val="single" w:sz="4" w:space="0" w:color="auto"/>
            </w:tcBorders>
            <w:vAlign w:val="center"/>
          </w:tcPr>
          <w:p w14:paraId="0782DB03" w14:textId="77777777" w:rsidR="00AA714C" w:rsidRPr="00AA714C" w:rsidRDefault="00AA714C" w:rsidP="00AA714C">
            <w:pPr>
              <w:ind w:firstLine="0"/>
              <w:rPr>
                <w:sz w:val="22"/>
                <w:szCs w:val="22"/>
              </w:rPr>
            </w:pPr>
          </w:p>
        </w:tc>
        <w:tc>
          <w:tcPr>
            <w:tcW w:w="1778" w:type="dxa"/>
            <w:tcBorders>
              <w:bottom w:val="single" w:sz="4" w:space="0" w:color="auto"/>
            </w:tcBorders>
            <w:vAlign w:val="center"/>
          </w:tcPr>
          <w:p w14:paraId="4218B890" w14:textId="77777777" w:rsidR="00AA714C" w:rsidRPr="00AA714C" w:rsidRDefault="00AA714C" w:rsidP="00AA714C">
            <w:pPr>
              <w:jc w:val="center"/>
              <w:rPr>
                <w:sz w:val="22"/>
                <w:szCs w:val="22"/>
              </w:rPr>
            </w:pPr>
          </w:p>
        </w:tc>
        <w:tc>
          <w:tcPr>
            <w:tcW w:w="1305" w:type="dxa"/>
            <w:tcBorders>
              <w:bottom w:val="single" w:sz="4" w:space="0" w:color="auto"/>
            </w:tcBorders>
            <w:vAlign w:val="center"/>
          </w:tcPr>
          <w:p w14:paraId="496D482D" w14:textId="77777777" w:rsidR="00AA714C" w:rsidRPr="00AA714C" w:rsidRDefault="00AA714C" w:rsidP="00AA714C">
            <w:pPr>
              <w:jc w:val="center"/>
              <w:rPr>
                <w:sz w:val="22"/>
                <w:szCs w:val="22"/>
              </w:rPr>
            </w:pPr>
          </w:p>
        </w:tc>
      </w:tr>
    </w:tbl>
    <w:p w14:paraId="569FC7AE" w14:textId="77777777" w:rsidR="00AA714C" w:rsidRPr="00AA714C" w:rsidRDefault="00AA714C" w:rsidP="00AA714C">
      <w:pPr>
        <w:pStyle w:val="NormalWeb"/>
        <w:numPr>
          <w:ilvl w:val="0"/>
          <w:numId w:val="12"/>
        </w:numPr>
        <w:rPr>
          <w:sz w:val="22"/>
          <w:szCs w:val="22"/>
        </w:rPr>
      </w:pPr>
      <w:proofErr w:type="spellStart"/>
      <w:r w:rsidRPr="00AA714C">
        <w:rPr>
          <w:rStyle w:val="Forte"/>
          <w:sz w:val="22"/>
          <w:szCs w:val="22"/>
        </w:rPr>
        <w:lastRenderedPageBreak/>
        <w:t>Algorithms</w:t>
      </w:r>
      <w:proofErr w:type="spellEnd"/>
      <w:r w:rsidRPr="00AA714C">
        <w:rPr>
          <w:rStyle w:val="Forte"/>
          <w:sz w:val="22"/>
          <w:szCs w:val="22"/>
        </w:rPr>
        <w:t>:</w:t>
      </w:r>
    </w:p>
    <w:p w14:paraId="4ABC3C78" w14:textId="77777777" w:rsidR="00AA714C" w:rsidRPr="00AA714C" w:rsidRDefault="00AA714C" w:rsidP="00AA714C">
      <w:pPr>
        <w:numPr>
          <w:ilvl w:val="1"/>
          <w:numId w:val="12"/>
        </w:numPr>
        <w:spacing w:before="100" w:beforeAutospacing="1" w:after="100" w:afterAutospacing="1"/>
        <w:jc w:val="left"/>
        <w:rPr>
          <w:sz w:val="22"/>
          <w:szCs w:val="22"/>
          <w:lang w:val="en-US"/>
        </w:rPr>
      </w:pPr>
      <w:r w:rsidRPr="00AA714C">
        <w:rPr>
          <w:sz w:val="22"/>
          <w:szCs w:val="22"/>
          <w:lang w:val="en-US"/>
        </w:rPr>
        <w:t>Present algorithms as text, without enclosing them in boxes.</w:t>
      </w:r>
    </w:p>
    <w:p w14:paraId="3268B4C4" w14:textId="77777777" w:rsidR="00AA714C" w:rsidRPr="00AA714C" w:rsidRDefault="00AA714C" w:rsidP="00AA714C">
      <w:pPr>
        <w:pStyle w:val="NormalWeb"/>
        <w:numPr>
          <w:ilvl w:val="0"/>
          <w:numId w:val="12"/>
        </w:numPr>
        <w:rPr>
          <w:sz w:val="22"/>
          <w:szCs w:val="22"/>
        </w:rPr>
      </w:pPr>
      <w:proofErr w:type="spellStart"/>
      <w:r w:rsidRPr="00AA714C">
        <w:rPr>
          <w:rStyle w:val="Forte"/>
          <w:sz w:val="22"/>
          <w:szCs w:val="22"/>
        </w:rPr>
        <w:t>Math</w:t>
      </w:r>
      <w:proofErr w:type="spellEnd"/>
      <w:r w:rsidRPr="00AA714C">
        <w:rPr>
          <w:rStyle w:val="Forte"/>
          <w:sz w:val="22"/>
          <w:szCs w:val="22"/>
        </w:rPr>
        <w:t xml:space="preserve"> </w:t>
      </w:r>
      <w:proofErr w:type="spellStart"/>
      <w:r w:rsidRPr="00AA714C">
        <w:rPr>
          <w:rStyle w:val="Forte"/>
          <w:sz w:val="22"/>
          <w:szCs w:val="22"/>
        </w:rPr>
        <w:t>and</w:t>
      </w:r>
      <w:proofErr w:type="spellEnd"/>
      <w:r w:rsidRPr="00AA714C">
        <w:rPr>
          <w:rStyle w:val="Forte"/>
          <w:sz w:val="22"/>
          <w:szCs w:val="22"/>
        </w:rPr>
        <w:t xml:space="preserve"> </w:t>
      </w:r>
      <w:proofErr w:type="spellStart"/>
      <w:r w:rsidRPr="00AA714C">
        <w:rPr>
          <w:rStyle w:val="Forte"/>
          <w:sz w:val="22"/>
          <w:szCs w:val="22"/>
        </w:rPr>
        <w:t>Equations</w:t>
      </w:r>
      <w:proofErr w:type="spellEnd"/>
      <w:r w:rsidRPr="00AA714C">
        <w:rPr>
          <w:rStyle w:val="Forte"/>
          <w:sz w:val="22"/>
          <w:szCs w:val="22"/>
        </w:rPr>
        <w:t>:</w:t>
      </w:r>
    </w:p>
    <w:p w14:paraId="75EB8FA1"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Prevent confusion between similar characters (e.g., "l" and "1").</w:t>
      </w:r>
    </w:p>
    <w:p w14:paraId="68F1F7D1"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Ensure clarity in character placement for superscripts and subscripts.</w:t>
      </w:r>
    </w:p>
    <w:p w14:paraId="25BCEF29"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Use consistent superscript notation for exponential expressions (e.g., 5x10^3 instead of 5E03).</w:t>
      </w:r>
    </w:p>
    <w:p w14:paraId="5C2FB064"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Represent vectors and matrices in bold.</w:t>
      </w:r>
    </w:p>
    <w:p w14:paraId="2C8EC485" w14:textId="77777777" w:rsidR="00AA714C" w:rsidRPr="00AA714C" w:rsidRDefault="00AA714C" w:rsidP="00AA714C">
      <w:pPr>
        <w:pStyle w:val="NormalWeb"/>
        <w:numPr>
          <w:ilvl w:val="1"/>
          <w:numId w:val="12"/>
        </w:numPr>
        <w:rPr>
          <w:sz w:val="22"/>
          <w:szCs w:val="22"/>
          <w:lang w:val="en-US"/>
        </w:rPr>
      </w:pPr>
      <w:r w:rsidRPr="00AA714C">
        <w:rPr>
          <w:sz w:val="22"/>
          <w:szCs w:val="22"/>
          <w:lang w:val="en-US"/>
        </w:rPr>
        <w:t>The equations are listed sequentially in the text, with right-hand numbering, for example,</w:t>
      </w:r>
    </w:p>
    <w:tbl>
      <w:tblPr>
        <w:tblStyle w:val="Tabelacomgrade"/>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670"/>
      </w:tblGrid>
      <w:tr w:rsidR="00AA714C" w:rsidRPr="00AA714C" w14:paraId="31EBF417" w14:textId="77777777" w:rsidTr="00AA714C">
        <w:tc>
          <w:tcPr>
            <w:tcW w:w="6385" w:type="dxa"/>
          </w:tcPr>
          <w:p w14:paraId="033FE1BF" w14:textId="38C5780F" w:rsidR="00AA714C" w:rsidRPr="00AA714C" w:rsidRDefault="00AA714C" w:rsidP="00AA714C">
            <w:pPr>
              <w:spacing w:beforeAutospacing="1" w:afterAutospacing="1"/>
              <w:ind w:left="360" w:firstLine="0"/>
              <w:rPr>
                <w:sz w:val="22"/>
                <w:szCs w:val="22"/>
                <w:lang w:val="en-US"/>
              </w:rPr>
            </w:pPr>
            <m:oMath>
              <m:r>
                <w:rPr>
                  <w:rStyle w:val="katex-mathml"/>
                  <w:rFonts w:ascii="Cambria Math" w:hAnsi="Cambria Math"/>
                </w:rPr>
                <m:t>ρ</m:t>
              </m:r>
              <m:r>
                <w:rPr>
                  <w:rStyle w:val="katex-mathml"/>
                  <w:rFonts w:ascii="Cambria Math" w:hAnsi="Cambria Math"/>
                  <w:lang w:val="en-US"/>
                </w:rPr>
                <m:t>i</m:t>
              </m:r>
              <m:r>
                <m:rPr>
                  <m:sty m:val="p"/>
                </m:rPr>
                <w:rPr>
                  <w:rStyle w:val="katex-mathml"/>
                  <w:rFonts w:ascii="Cambria Math" w:hAnsi="Cambria Math"/>
                  <w:lang w:val="en-US"/>
                </w:rPr>
                <m:t>=</m:t>
              </m:r>
              <m:nary>
                <m:naryPr>
                  <m:chr m:val="∑"/>
                  <m:subHide m:val="1"/>
                  <m:supHide m:val="1"/>
                  <m:ctrlPr>
                    <w:rPr>
                      <w:rStyle w:val="katex-mathml"/>
                      <w:rFonts w:ascii="Cambria Math" w:hAnsi="Cambria Math"/>
                      <w:lang w:val="en-US"/>
                    </w:rPr>
                  </m:ctrlPr>
                </m:naryPr>
                <m:sub/>
                <m:sup/>
                <m:e>
                  <m:r>
                    <w:rPr>
                      <w:rStyle w:val="katex-mathml"/>
                      <w:rFonts w:ascii="Cambria Math" w:hAnsi="Cambria Math"/>
                      <w:lang w:val="en-US"/>
                    </w:rPr>
                    <m:t>j</m:t>
                  </m:r>
                </m:e>
              </m:nary>
              <m:r>
                <m:rPr>
                  <m:sty m:val="p"/>
                </m:rPr>
                <w:rPr>
                  <w:rStyle w:val="katex-mathml"/>
                  <w:rFonts w:ascii="Cambria Math" w:hAnsi="Cambria Math"/>
                  <w:lang w:val="en-US"/>
                </w:rPr>
                <m:t>=1</m:t>
              </m:r>
              <m:r>
                <w:rPr>
                  <w:rStyle w:val="katex-mathml"/>
                  <w:rFonts w:ascii="Cambria Math" w:hAnsi="Cambria Math"/>
                  <w:lang w:val="en-US"/>
                </w:rPr>
                <m:t>kdi</m:t>
              </m:r>
              <m:r>
                <m:rPr>
                  <m:sty m:val="p"/>
                </m:rPr>
                <w:rPr>
                  <w:rStyle w:val="katex-mathml"/>
                  <w:rFonts w:ascii="Cambria Math" w:hAnsi="Cambria Math"/>
                  <w:lang w:val="en-US"/>
                </w:rPr>
                <m:t>,</m:t>
              </m:r>
              <m:r>
                <w:rPr>
                  <w:rStyle w:val="katex-mathml"/>
                  <w:rFonts w:ascii="Cambria Math" w:hAnsi="Cambria Math"/>
                  <w:lang w:val="en-US"/>
                </w:rPr>
                <m:t>j</m:t>
              </m:r>
              <m:d>
                <m:dPr>
                  <m:ctrlPr>
                    <w:rPr>
                      <w:rStyle w:val="katex-mathml"/>
                      <w:rFonts w:ascii="Cambria Math" w:hAnsi="Cambria Math"/>
                      <w:lang w:val="en-US"/>
                    </w:rPr>
                  </m:ctrlPr>
                </m:dPr>
                <m:e>
                  <m:r>
                    <w:rPr>
                      <w:rStyle w:val="katex-mathml"/>
                      <w:rFonts w:ascii="Cambria Math" w:hAnsi="Cambria Math"/>
                      <w:lang w:val="en-US"/>
                    </w:rPr>
                    <m:t>k</m:t>
                  </m:r>
                  <m:r>
                    <m:rPr>
                      <m:sty m:val="p"/>
                    </m:rPr>
                    <w:rPr>
                      <w:rStyle w:val="katex-mathml"/>
                      <w:rFonts w:ascii="Cambria Math" w:hAnsi="Cambria Math"/>
                      <w:lang w:val="en-US"/>
                    </w:rPr>
                    <m:t>2-1</m:t>
                  </m:r>
                </m:e>
              </m:d>
              <m:r>
                <m:rPr>
                  <m:sty m:val="p"/>
                </m:rPr>
                <w:rPr>
                  <w:rStyle w:val="katex-mathml"/>
                  <w:rFonts w:ascii="Cambria Math" w:hAnsi="Cambria Math"/>
                  <w:lang w:val="en-US"/>
                </w:rPr>
                <m:t>.</m:t>
              </m:r>
              <m:sSub>
                <m:sSubPr>
                  <m:ctrlPr>
                    <w:rPr>
                      <w:rStyle w:val="katex-mathml"/>
                      <w:rFonts w:ascii="Cambria Math" w:hAnsi="Cambria Math"/>
                      <w:lang w:val="en-US"/>
                    </w:rPr>
                  </m:ctrlPr>
                </m:sSubPr>
                <m:e>
                  <m:r>
                    <w:rPr>
                      <w:rStyle w:val="katex-mathml"/>
                      <w:rFonts w:ascii="Cambria Math" w:hAnsi="Cambria Math"/>
                      <w:lang w:val="en-US"/>
                    </w:rPr>
                    <m:t>ρ</m:t>
                  </m:r>
                </m:e>
                <m:sub>
                  <m:r>
                    <w:rPr>
                      <w:rStyle w:val="katex-mathml"/>
                      <w:rFonts w:ascii="Cambria Math" w:hAnsi="Cambria Math"/>
                      <w:lang w:val="en-US"/>
                    </w:rPr>
                    <m:t>i</m:t>
                  </m:r>
                </m:sub>
              </m:sSub>
              <m:r>
                <m:rPr>
                  <m:sty m:val="p"/>
                </m:rPr>
                <w:rPr>
                  <w:rStyle w:val="katex-mathml"/>
                  <w:rFonts w:ascii="Cambria Math" w:hAnsi="Cambria Math"/>
                  <w:lang w:val="en-US"/>
                </w:rPr>
                <m:t>=</m:t>
              </m:r>
              <m:f>
                <m:fPr>
                  <m:ctrlPr>
                    <w:rPr>
                      <w:rStyle w:val="katex-mathml"/>
                      <w:rFonts w:ascii="Cambria Math" w:hAnsi="Cambria Math"/>
                      <w:lang w:val="en-US"/>
                    </w:rPr>
                  </m:ctrlPr>
                </m:fPr>
                <m:num>
                  <m:nary>
                    <m:naryPr>
                      <m:chr m:val="∑"/>
                      <m:ctrlPr>
                        <w:rPr>
                          <w:rStyle w:val="katex-mathml"/>
                          <w:rFonts w:ascii="Cambria Math" w:hAnsi="Cambria Math"/>
                          <w:lang w:val="en-US"/>
                        </w:rPr>
                      </m:ctrlPr>
                    </m:naryPr>
                    <m:sub>
                      <m:r>
                        <w:rPr>
                          <w:rStyle w:val="katex-mathml"/>
                          <w:rFonts w:ascii="Cambria Math" w:hAnsi="Cambria Math"/>
                          <w:lang w:val="en-US"/>
                        </w:rPr>
                        <m:t>j</m:t>
                      </m:r>
                      <m:r>
                        <m:rPr>
                          <m:sty m:val="p"/>
                        </m:rPr>
                        <w:rPr>
                          <w:rStyle w:val="katex-mathml"/>
                          <w:rFonts w:ascii="Cambria Math" w:hAnsi="Cambria Math"/>
                          <w:lang w:val="en-US"/>
                        </w:rPr>
                        <m:t>=1</m:t>
                      </m:r>
                    </m:sub>
                    <m:sup>
                      <m:r>
                        <w:rPr>
                          <w:rStyle w:val="katex-mathml"/>
                          <w:rFonts w:ascii="Cambria Math" w:hAnsi="Cambria Math"/>
                          <w:lang w:val="en-US"/>
                        </w:rPr>
                        <m:t>k</m:t>
                      </m:r>
                    </m:sup>
                    <m:e>
                      <m:sSub>
                        <m:sSubPr>
                          <m:ctrlPr>
                            <w:rPr>
                              <w:rStyle w:val="katex-mathml"/>
                              <w:rFonts w:ascii="Cambria Math" w:hAnsi="Cambria Math"/>
                              <w:lang w:val="en-US"/>
                            </w:rPr>
                          </m:ctrlPr>
                        </m:sSubPr>
                        <m:e>
                          <m:r>
                            <w:rPr>
                              <w:rStyle w:val="katex-mathml"/>
                              <w:rFonts w:ascii="Cambria Math" w:hAnsi="Cambria Math"/>
                              <w:lang w:val="en-US"/>
                            </w:rPr>
                            <m:t>d</m:t>
                          </m:r>
                        </m:e>
                        <m:sub>
                          <m:r>
                            <w:rPr>
                              <w:rStyle w:val="katex-mathml"/>
                              <w:rFonts w:ascii="Cambria Math" w:hAnsi="Cambria Math"/>
                              <w:lang w:val="en-US"/>
                            </w:rPr>
                            <m:t>i</m:t>
                          </m:r>
                          <m:r>
                            <m:rPr>
                              <m:sty m:val="p"/>
                            </m:rPr>
                            <w:rPr>
                              <w:rStyle w:val="katex-mathml"/>
                              <w:rFonts w:ascii="Cambria Math" w:hAnsi="Cambria Math"/>
                              <w:lang w:val="en-US"/>
                            </w:rPr>
                            <m:t>,</m:t>
                          </m:r>
                          <m:r>
                            <w:rPr>
                              <w:rStyle w:val="katex-mathml"/>
                              <w:rFonts w:ascii="Cambria Math" w:hAnsi="Cambria Math"/>
                              <w:lang w:val="en-US"/>
                            </w:rPr>
                            <m:t>j</m:t>
                          </m:r>
                        </m:sub>
                      </m:sSub>
                    </m:e>
                  </m:nary>
                </m:num>
                <m:den>
                  <m:d>
                    <m:dPr>
                      <m:ctrlPr>
                        <w:rPr>
                          <w:rStyle w:val="katex-mathml"/>
                          <w:rFonts w:ascii="Cambria Math" w:hAnsi="Cambria Math"/>
                          <w:lang w:val="en-US"/>
                        </w:rPr>
                      </m:ctrlPr>
                    </m:dPr>
                    <m:e>
                      <m:sSup>
                        <m:sSupPr>
                          <m:ctrlPr>
                            <w:rPr>
                              <w:rStyle w:val="katex-mathml"/>
                              <w:rFonts w:ascii="Cambria Math" w:hAnsi="Cambria Math"/>
                              <w:lang w:val="en-US"/>
                            </w:rPr>
                          </m:ctrlPr>
                        </m:sSupPr>
                        <m:e>
                          <m:r>
                            <w:rPr>
                              <w:rStyle w:val="katex-mathml"/>
                              <w:rFonts w:ascii="Cambria Math" w:hAnsi="Cambria Math"/>
                              <w:lang w:val="en-US"/>
                            </w:rPr>
                            <m:t>k</m:t>
                          </m:r>
                        </m:e>
                        <m:sup>
                          <m:r>
                            <m:rPr>
                              <m:sty m:val="p"/>
                            </m:rPr>
                            <w:rPr>
                              <w:rStyle w:val="katex-mathml"/>
                              <w:rFonts w:ascii="Cambria Math" w:hAnsi="Cambria Math"/>
                              <w:lang w:val="en-US"/>
                            </w:rPr>
                            <m:t>2</m:t>
                          </m:r>
                        </m:sup>
                      </m:sSup>
                      <m:r>
                        <m:rPr>
                          <m:sty m:val="p"/>
                        </m:rPr>
                        <w:rPr>
                          <w:rStyle w:val="katex-mathml"/>
                          <w:rFonts w:ascii="Cambria Math" w:hAnsi="Cambria Math"/>
                          <w:lang w:val="en-US"/>
                        </w:rPr>
                        <m:t>-1</m:t>
                      </m:r>
                    </m:e>
                  </m:d>
                </m:den>
              </m:f>
              <m:r>
                <m:rPr>
                  <m:sty m:val="p"/>
                </m:rPr>
                <w:rPr>
                  <w:rStyle w:val="katex-mathml"/>
                  <w:rFonts w:ascii="Cambria Math" w:hAnsi="Cambria Math"/>
                  <w:lang w:val="en-US"/>
                </w:rPr>
                <m:t>.</m:t>
              </m:r>
              <m:r>
                <w:rPr>
                  <w:rStyle w:val="mord"/>
                  <w:rFonts w:ascii="Cambria Math" w:hAnsi="Cambria Math"/>
                </w:rPr>
                <m:t>ρ</m:t>
              </m:r>
              <m:r>
                <w:rPr>
                  <w:rStyle w:val="mord"/>
                  <w:rFonts w:ascii="Cambria Math" w:hAnsi="Cambria Math"/>
                  <w:lang w:val="en-US"/>
                </w:rPr>
                <m:t>i</m:t>
              </m:r>
              <m:r>
                <m:rPr>
                  <m:sty m:val="p"/>
                </m:rPr>
                <w:rPr>
                  <w:rStyle w:val="vlist-s"/>
                  <w:rFonts w:ascii="Cambria Math" w:hAnsi="Cambria Math"/>
                  <w:lang w:val="en-US"/>
                </w:rPr>
                <m:t>​</m:t>
              </m:r>
              <m:r>
                <m:rPr>
                  <m:sty m:val="p"/>
                </m:rPr>
                <w:rPr>
                  <w:rStyle w:val="mrel"/>
                  <w:rFonts w:ascii="Cambria Math" w:hAnsi="Cambria Math"/>
                  <w:lang w:val="en-US"/>
                </w:rPr>
                <m:t>=</m:t>
              </m:r>
              <m:d>
                <m:dPr>
                  <m:ctrlPr>
                    <w:rPr>
                      <w:rStyle w:val="mopen"/>
                      <w:rFonts w:ascii="Cambria Math" w:hAnsi="Cambria Math"/>
                      <w:lang w:val="en-US"/>
                    </w:rPr>
                  </m:ctrlPr>
                </m:dPr>
                <m:e>
                  <m:r>
                    <w:rPr>
                      <w:rStyle w:val="mord"/>
                      <w:rFonts w:ascii="Cambria Math" w:hAnsi="Cambria Math"/>
                      <w:lang w:val="en-US"/>
                    </w:rPr>
                    <m:t>k</m:t>
                  </m:r>
                  <m:r>
                    <m:rPr>
                      <m:sty m:val="p"/>
                    </m:rPr>
                    <w:rPr>
                      <w:rStyle w:val="mord"/>
                      <w:rFonts w:ascii="Cambria Math" w:hAnsi="Cambria Math"/>
                      <w:lang w:val="en-US"/>
                    </w:rPr>
                    <m:t>2</m:t>
                  </m:r>
                  <m:r>
                    <m:rPr>
                      <m:sty m:val="p"/>
                    </m:rPr>
                    <w:rPr>
                      <w:rStyle w:val="mbin"/>
                      <w:rFonts w:ascii="Cambria Math" w:hAnsi="Cambria Math"/>
                      <w:lang w:val="en-US"/>
                    </w:rPr>
                    <m:t>-</m:t>
                  </m:r>
                  <m:r>
                    <m:rPr>
                      <m:sty m:val="p"/>
                    </m:rPr>
                    <w:rPr>
                      <w:rStyle w:val="mord"/>
                      <w:rFonts w:ascii="Cambria Math" w:hAnsi="Cambria Math"/>
                      <w:lang w:val="en-US"/>
                    </w:rPr>
                    <m:t>1</m:t>
                  </m:r>
                  <m:ctrlPr>
                    <w:rPr>
                      <w:rStyle w:val="mclose"/>
                      <w:rFonts w:ascii="Cambria Math" w:hAnsi="Cambria Math"/>
                      <w:lang w:val="en-US"/>
                    </w:rPr>
                  </m:ctrlPr>
                </m:e>
              </m:d>
              <m:nary>
                <m:naryPr>
                  <m:chr m:val="∑"/>
                  <m:subHide m:val="1"/>
                  <m:supHide m:val="1"/>
                  <m:ctrlPr>
                    <w:rPr>
                      <w:rStyle w:val="mop"/>
                      <w:rFonts w:ascii="Cambria Math" w:hAnsi="Cambria Math"/>
                      <w:lang w:val="en-US"/>
                    </w:rPr>
                  </m:ctrlPr>
                </m:naryPr>
                <m:sub>
                  <m:ctrlPr>
                    <w:rPr>
                      <w:rStyle w:val="mord"/>
                      <w:rFonts w:ascii="Cambria Math" w:hAnsi="Cambria Math"/>
                      <w:lang w:val="en-US"/>
                    </w:rPr>
                  </m:ctrlPr>
                </m:sub>
                <m:sup>
                  <m:ctrlPr>
                    <w:rPr>
                      <w:rStyle w:val="mord"/>
                      <w:rFonts w:ascii="Cambria Math" w:hAnsi="Cambria Math"/>
                      <w:lang w:val="en-US"/>
                    </w:rPr>
                  </m:ctrlPr>
                </m:sup>
                <m:e>
                  <m:r>
                    <w:rPr>
                      <w:rStyle w:val="mord"/>
                      <w:rFonts w:ascii="Cambria Math" w:hAnsi="Cambria Math"/>
                      <w:lang w:val="en-US"/>
                    </w:rPr>
                    <m:t>j</m:t>
                  </m:r>
                  <m:ctrlPr>
                    <w:rPr>
                      <w:rStyle w:val="mord"/>
                      <w:rFonts w:ascii="Cambria Math" w:hAnsi="Cambria Math"/>
                      <w:lang w:val="en-US"/>
                    </w:rPr>
                  </m:ctrlPr>
                </m:e>
              </m:nary>
              <m:r>
                <m:rPr>
                  <m:sty m:val="p"/>
                </m:rPr>
                <w:rPr>
                  <w:rStyle w:val="mrel"/>
                  <w:rFonts w:ascii="Cambria Math" w:hAnsi="Cambria Math"/>
                  <w:lang w:val="en-US"/>
                </w:rPr>
                <m:t>=</m:t>
              </m:r>
              <m:r>
                <m:rPr>
                  <m:sty m:val="p"/>
                </m:rPr>
                <w:rPr>
                  <w:rStyle w:val="mord"/>
                  <w:rFonts w:ascii="Cambria Math" w:hAnsi="Cambria Math"/>
                  <w:lang w:val="en-US"/>
                </w:rPr>
                <m:t>1</m:t>
              </m:r>
              <m:r>
                <w:rPr>
                  <w:rStyle w:val="mord"/>
                  <w:rFonts w:ascii="Cambria Math" w:hAnsi="Cambria Math"/>
                  <w:lang w:val="en-US"/>
                </w:rPr>
                <m:t>k</m:t>
              </m:r>
              <m:r>
                <m:rPr>
                  <m:sty m:val="p"/>
                </m:rPr>
                <w:rPr>
                  <w:rStyle w:val="vlist-s"/>
                  <w:rFonts w:ascii="Cambria Math" w:hAnsi="Cambria Math"/>
                  <w:lang w:val="en-US"/>
                </w:rPr>
                <m:t>​</m:t>
              </m:r>
              <m:r>
                <w:rPr>
                  <w:rStyle w:val="mord"/>
                  <w:rFonts w:ascii="Cambria Math" w:hAnsi="Cambria Math"/>
                  <w:lang w:val="en-US"/>
                </w:rPr>
                <m:t>di</m:t>
              </m:r>
              <m:r>
                <m:rPr>
                  <m:sty m:val="p"/>
                </m:rPr>
                <w:rPr>
                  <w:rStyle w:val="mpunct"/>
                  <w:rFonts w:ascii="Cambria Math" w:hAnsi="Cambria Math"/>
                  <w:lang w:val="en-US"/>
                </w:rPr>
                <m:t>,</m:t>
              </m:r>
              <m:r>
                <w:rPr>
                  <w:rStyle w:val="mord"/>
                  <w:rFonts w:ascii="Cambria Math" w:hAnsi="Cambria Math"/>
                  <w:lang w:val="en-US"/>
                </w:rPr>
                <m:t>j</m:t>
              </m:r>
            </m:oMath>
            <w:r w:rsidRPr="00AA714C">
              <w:rPr>
                <w:rStyle w:val="vlist-s"/>
                <w:sz w:val="22"/>
                <w:szCs w:val="22"/>
                <w:lang w:val="en-US"/>
              </w:rPr>
              <w:t>​​</w:t>
            </w:r>
            <w:r w:rsidRPr="00AA714C">
              <w:rPr>
                <w:rStyle w:val="mord"/>
                <w:sz w:val="22"/>
                <w:szCs w:val="22"/>
                <w:lang w:val="en-US"/>
              </w:rPr>
              <w:t xml:space="preserve">. </w:t>
            </w:r>
          </w:p>
        </w:tc>
        <w:tc>
          <w:tcPr>
            <w:tcW w:w="670" w:type="dxa"/>
          </w:tcPr>
          <w:p w14:paraId="44C4187B" w14:textId="44C6E445" w:rsidR="00AA714C" w:rsidRPr="00AA714C" w:rsidRDefault="00AA714C" w:rsidP="00AA714C">
            <w:pPr>
              <w:pStyle w:val="NormalWeb"/>
              <w:rPr>
                <w:sz w:val="22"/>
                <w:szCs w:val="22"/>
                <w:lang w:val="en-US"/>
              </w:rPr>
            </w:pPr>
            <w:r w:rsidRPr="00AA714C">
              <w:rPr>
                <w:sz w:val="22"/>
                <w:szCs w:val="22"/>
                <w:lang w:val="en-US"/>
              </w:rPr>
              <w:t>(1)</w:t>
            </w:r>
          </w:p>
        </w:tc>
      </w:tr>
    </w:tbl>
    <w:p w14:paraId="7143CA0A" w14:textId="77777777" w:rsidR="00AA714C" w:rsidRPr="00AA714C" w:rsidRDefault="00AA714C" w:rsidP="00AA714C">
      <w:pPr>
        <w:pStyle w:val="NormalWeb"/>
        <w:ind w:left="1440"/>
        <w:rPr>
          <w:sz w:val="22"/>
          <w:szCs w:val="22"/>
          <w:lang w:val="en-US"/>
        </w:rPr>
      </w:pPr>
      <w:r w:rsidRPr="00AA714C">
        <w:rPr>
          <w:sz w:val="22"/>
          <w:szCs w:val="22"/>
          <w:lang w:val="en-US"/>
        </w:rPr>
        <w:t>In equation (1), ...</w:t>
      </w:r>
    </w:p>
    <w:p w14:paraId="50AACE0E" w14:textId="77777777" w:rsidR="00AA714C" w:rsidRPr="00AA714C" w:rsidRDefault="00AA714C" w:rsidP="00AA714C">
      <w:pPr>
        <w:pStyle w:val="NormalWeb"/>
        <w:rPr>
          <w:sz w:val="22"/>
          <w:szCs w:val="22"/>
          <w:lang w:val="en-US"/>
        </w:rPr>
      </w:pPr>
      <w:r w:rsidRPr="00AA714C">
        <w:rPr>
          <w:sz w:val="22"/>
          <w:szCs w:val="22"/>
          <w:lang w:val="en-US"/>
        </w:rPr>
        <w:t xml:space="preserve">The journal </w:t>
      </w:r>
      <w:r w:rsidRPr="00AA714C">
        <w:rPr>
          <w:rStyle w:val="Forte"/>
          <w:sz w:val="22"/>
          <w:szCs w:val="22"/>
          <w:lang w:val="en-US"/>
        </w:rPr>
        <w:t>Semina: Exact and Technological Sciences</w:t>
      </w:r>
      <w:r w:rsidRPr="00AA714C">
        <w:rPr>
          <w:sz w:val="22"/>
          <w:szCs w:val="22"/>
          <w:lang w:val="en-US"/>
        </w:rPr>
        <w:t xml:space="preserve"> from 2023 on utilizes the normative instructions from the American Psychological Association (APA Style - </w:t>
      </w:r>
      <w:hyperlink r:id="rId10" w:tgtFrame="_new" w:history="1">
        <w:r w:rsidRPr="00AA714C">
          <w:rPr>
            <w:rStyle w:val="Hyperlink"/>
            <w:sz w:val="22"/>
            <w:szCs w:val="22"/>
            <w:lang w:val="en-US"/>
          </w:rPr>
          <w:t>LINK</w:t>
        </w:r>
      </w:hyperlink>
      <w:r w:rsidRPr="00AA714C">
        <w:rPr>
          <w:sz w:val="22"/>
          <w:szCs w:val="22"/>
          <w:lang w:val="en-US"/>
        </w:rPr>
        <w:t xml:space="preserve">) for articles. Check out the Booklet of the Central Library of UEL - </w:t>
      </w:r>
      <w:hyperlink r:id="rId11" w:tgtFrame="_new" w:history="1">
        <w:r w:rsidRPr="00AA714C">
          <w:rPr>
            <w:rStyle w:val="Hyperlink"/>
            <w:sz w:val="22"/>
            <w:szCs w:val="22"/>
            <w:lang w:val="en-US"/>
          </w:rPr>
          <w:t>LINK</w:t>
        </w:r>
      </w:hyperlink>
      <w:r w:rsidRPr="00AA714C">
        <w:rPr>
          <w:sz w:val="22"/>
          <w:szCs w:val="22"/>
          <w:lang w:val="en-US"/>
        </w:rPr>
        <w:t>.</w:t>
      </w:r>
    </w:p>
    <w:p w14:paraId="43AFC2A2" w14:textId="77777777" w:rsidR="00AA714C" w:rsidRPr="00AA714C" w:rsidRDefault="00AA714C" w:rsidP="00AA714C">
      <w:pPr>
        <w:pStyle w:val="NormalWeb"/>
        <w:rPr>
          <w:sz w:val="22"/>
          <w:szCs w:val="22"/>
          <w:lang w:val="en-US"/>
        </w:rPr>
      </w:pPr>
      <w:r w:rsidRPr="00AA714C">
        <w:rPr>
          <w:rStyle w:val="Forte"/>
          <w:sz w:val="22"/>
          <w:szCs w:val="22"/>
          <w:lang w:val="en-US"/>
        </w:rPr>
        <w:t>Examples:</w:t>
      </w:r>
    </w:p>
    <w:p w14:paraId="48CA88A2" w14:textId="77777777" w:rsidR="00AA714C" w:rsidRPr="00AA714C" w:rsidRDefault="00AA714C" w:rsidP="00AA714C">
      <w:pPr>
        <w:pStyle w:val="NormalWeb"/>
        <w:rPr>
          <w:sz w:val="22"/>
          <w:szCs w:val="22"/>
          <w:lang w:val="en-US"/>
        </w:rPr>
      </w:pPr>
      <w:r w:rsidRPr="00AA714C">
        <w:rPr>
          <w:sz w:val="22"/>
          <w:szCs w:val="22"/>
          <w:lang w:val="en-US"/>
        </w:rPr>
        <w:t>(Cirilo, 2023; Herbert, 2023) or Cirilo (2023) and Herbert (2023)</w:t>
      </w:r>
    </w:p>
    <w:p w14:paraId="1CE88925" w14:textId="77777777" w:rsidR="00AA714C" w:rsidRPr="00AA714C" w:rsidRDefault="00AA714C" w:rsidP="00AA714C">
      <w:pPr>
        <w:pStyle w:val="NormalWeb"/>
        <w:rPr>
          <w:sz w:val="22"/>
          <w:szCs w:val="22"/>
          <w:lang w:val="en-US"/>
        </w:rPr>
      </w:pPr>
      <w:r w:rsidRPr="00AA714C">
        <w:rPr>
          <w:rStyle w:val="Forte"/>
          <w:sz w:val="22"/>
          <w:szCs w:val="22"/>
          <w:lang w:val="en-US"/>
        </w:rPr>
        <w:t>Conclusions</w:t>
      </w:r>
    </w:p>
    <w:p w14:paraId="1FE1FF33" w14:textId="77777777" w:rsidR="00AA714C" w:rsidRPr="00AA714C" w:rsidRDefault="00AA714C" w:rsidP="00AA714C">
      <w:pPr>
        <w:pStyle w:val="NormalWeb"/>
        <w:rPr>
          <w:sz w:val="22"/>
          <w:szCs w:val="22"/>
          <w:lang w:val="en-US"/>
        </w:rPr>
      </w:pPr>
      <w:r w:rsidRPr="00AA714C">
        <w:rPr>
          <w:sz w:val="22"/>
          <w:szCs w:val="22"/>
          <w:lang w:val="en-US"/>
        </w:rPr>
        <w:t>The Conclusions section, which summarizes the main conclusions of the work, must be presented immediately after the section Results and Discussion.</w:t>
      </w:r>
    </w:p>
    <w:p w14:paraId="3C080831" w14:textId="77777777" w:rsidR="00AA714C" w:rsidRPr="00AA714C" w:rsidRDefault="00AA714C" w:rsidP="00AA714C">
      <w:pPr>
        <w:pStyle w:val="NormalWeb"/>
        <w:rPr>
          <w:sz w:val="22"/>
          <w:szCs w:val="22"/>
          <w:lang w:val="en-US"/>
        </w:rPr>
      </w:pPr>
      <w:r w:rsidRPr="00AA714C">
        <w:rPr>
          <w:rStyle w:val="Forte"/>
          <w:sz w:val="22"/>
          <w:szCs w:val="22"/>
          <w:lang w:val="en-US"/>
        </w:rPr>
        <w:t>Author Contributions</w:t>
      </w:r>
    </w:p>
    <w:p w14:paraId="1B2F1047" w14:textId="77777777" w:rsidR="00AA714C" w:rsidRPr="00AA714C" w:rsidRDefault="00AA714C" w:rsidP="00AA714C">
      <w:pPr>
        <w:pStyle w:val="NormalWeb"/>
        <w:jc w:val="both"/>
        <w:rPr>
          <w:sz w:val="22"/>
          <w:szCs w:val="22"/>
          <w:lang w:val="en-US"/>
        </w:rPr>
      </w:pPr>
      <w:r w:rsidRPr="00AA714C">
        <w:rPr>
          <w:sz w:val="22"/>
          <w:szCs w:val="22"/>
          <w:lang w:val="en-US"/>
        </w:rPr>
        <w:t xml:space="preserve">The journal </w:t>
      </w:r>
      <w:r w:rsidRPr="00AA714C">
        <w:rPr>
          <w:rStyle w:val="Forte"/>
          <w:sz w:val="22"/>
          <w:szCs w:val="22"/>
          <w:lang w:val="en-US"/>
        </w:rPr>
        <w:t>Semina: Exact and Technological Sciences</w:t>
      </w:r>
      <w:r w:rsidRPr="00AA714C">
        <w:rPr>
          <w:sz w:val="22"/>
          <w:szCs w:val="22"/>
          <w:lang w:val="en-US"/>
        </w:rPr>
        <w:t xml:space="preserve"> from 2023 on adopted the system of taxonomy papers for </w:t>
      </w:r>
      <w:proofErr w:type="spellStart"/>
      <w:r w:rsidRPr="00AA714C">
        <w:rPr>
          <w:sz w:val="22"/>
          <w:szCs w:val="22"/>
          <w:lang w:val="en-US"/>
        </w:rPr>
        <w:t>CRediT</w:t>
      </w:r>
      <w:proofErr w:type="spellEnd"/>
      <w:r w:rsidRPr="00AA714C">
        <w:rPr>
          <w:sz w:val="22"/>
          <w:szCs w:val="22"/>
          <w:lang w:val="en-US"/>
        </w:rPr>
        <w:t xml:space="preserve"> contributors. </w:t>
      </w:r>
      <w:hyperlink r:id="rId12" w:tgtFrame="_new" w:history="1">
        <w:proofErr w:type="spellStart"/>
        <w:r w:rsidRPr="00AA714C">
          <w:rPr>
            <w:rStyle w:val="Hyperlink"/>
            <w:sz w:val="22"/>
            <w:szCs w:val="22"/>
            <w:lang w:val="en-US"/>
          </w:rPr>
          <w:t>CRediT</w:t>
        </w:r>
        <w:proofErr w:type="spellEnd"/>
      </w:hyperlink>
      <w:r w:rsidRPr="00AA714C">
        <w:rPr>
          <w:sz w:val="22"/>
          <w:szCs w:val="22"/>
          <w:lang w:val="en-US"/>
        </w:rPr>
        <w:t xml:space="preserve"> is a taxonomy of 14 papers that describe the authorial contribution in the making of academic productions. Therefore, all manuscripts submitted to the journal must describe the participation of its authors through a form (</w:t>
      </w:r>
      <w:hyperlink r:id="rId13" w:tgtFrame="_new" w:history="1">
        <w:r w:rsidRPr="00AA714C">
          <w:rPr>
            <w:rStyle w:val="Hyperlink"/>
            <w:sz w:val="22"/>
            <w:szCs w:val="22"/>
            <w:lang w:val="en-US"/>
          </w:rPr>
          <w:t>LINK</w:t>
        </w:r>
      </w:hyperlink>
      <w:r w:rsidRPr="00AA714C">
        <w:rPr>
          <w:sz w:val="22"/>
          <w:szCs w:val="22"/>
          <w:lang w:val="en-US"/>
        </w:rPr>
        <w:t>).</w:t>
      </w:r>
    </w:p>
    <w:p w14:paraId="77902A6A" w14:textId="77777777" w:rsidR="00AA714C" w:rsidRPr="00AA714C" w:rsidRDefault="00AA714C" w:rsidP="00AA714C">
      <w:pPr>
        <w:pStyle w:val="NormalWeb"/>
        <w:rPr>
          <w:sz w:val="22"/>
          <w:szCs w:val="22"/>
          <w:lang w:val="en-US"/>
        </w:rPr>
      </w:pPr>
      <w:r w:rsidRPr="00AA714C">
        <w:rPr>
          <w:rStyle w:val="Forte"/>
          <w:sz w:val="22"/>
          <w:szCs w:val="22"/>
          <w:lang w:val="en-US"/>
        </w:rPr>
        <w:t>Conflicts of Interest</w:t>
      </w:r>
    </w:p>
    <w:p w14:paraId="70B80E4E" w14:textId="77777777" w:rsidR="00AA714C" w:rsidRPr="00AA714C" w:rsidRDefault="00AA714C" w:rsidP="00AA714C">
      <w:pPr>
        <w:pStyle w:val="NormalWeb"/>
        <w:rPr>
          <w:sz w:val="22"/>
          <w:szCs w:val="22"/>
          <w:lang w:val="en-US"/>
        </w:rPr>
      </w:pPr>
      <w:r w:rsidRPr="00AA714C">
        <w:rPr>
          <w:sz w:val="22"/>
          <w:szCs w:val="22"/>
          <w:lang w:val="en-US"/>
        </w:rPr>
        <w:t>The authors declare no conflict of interest OR The authors declare...</w:t>
      </w:r>
    </w:p>
    <w:p w14:paraId="6009B275" w14:textId="77777777" w:rsidR="00AA714C" w:rsidRPr="00AA714C" w:rsidRDefault="00AA714C" w:rsidP="00AA714C">
      <w:pPr>
        <w:pStyle w:val="NormalWeb"/>
        <w:rPr>
          <w:sz w:val="22"/>
          <w:szCs w:val="22"/>
          <w:lang w:val="en-US"/>
        </w:rPr>
      </w:pPr>
      <w:r w:rsidRPr="00AA714C">
        <w:rPr>
          <w:rStyle w:val="Forte"/>
          <w:sz w:val="22"/>
          <w:szCs w:val="22"/>
          <w:lang w:val="en-US"/>
        </w:rPr>
        <w:t>Acknowledgments</w:t>
      </w:r>
    </w:p>
    <w:p w14:paraId="6F101089" w14:textId="77777777" w:rsidR="00AA714C" w:rsidRPr="00AA714C" w:rsidRDefault="00AA714C" w:rsidP="00AA714C">
      <w:pPr>
        <w:pStyle w:val="NormalWeb"/>
        <w:rPr>
          <w:sz w:val="22"/>
          <w:szCs w:val="22"/>
          <w:lang w:val="en-US"/>
        </w:rPr>
      </w:pPr>
      <w:r w:rsidRPr="00AA714C">
        <w:rPr>
          <w:sz w:val="22"/>
          <w:szCs w:val="22"/>
          <w:lang w:val="en-US"/>
        </w:rPr>
        <w:t>The acknowledgments section in a research paper is optional and allows authors to express gratitude to those who contributed to the research or publication process. It should be concise, clear, and relevant to the work.</w:t>
      </w:r>
    </w:p>
    <w:p w14:paraId="2540932B" w14:textId="77777777" w:rsidR="00AA714C" w:rsidRPr="00AA714C" w:rsidRDefault="00AA714C" w:rsidP="00AA714C">
      <w:pPr>
        <w:rPr>
          <w:sz w:val="22"/>
          <w:szCs w:val="22"/>
          <w:lang w:val="en-US"/>
        </w:rPr>
      </w:pPr>
    </w:p>
    <w:p w14:paraId="6269E4FE" w14:textId="77777777" w:rsidR="00AA714C" w:rsidRPr="00AA714C" w:rsidRDefault="00AA714C" w:rsidP="00AA714C">
      <w:pPr>
        <w:rPr>
          <w:sz w:val="22"/>
          <w:szCs w:val="22"/>
          <w:lang w:val="en-US"/>
        </w:rPr>
      </w:pPr>
    </w:p>
    <w:p w14:paraId="19557978" w14:textId="77777777" w:rsidR="00D67A2F" w:rsidRPr="00AA714C" w:rsidRDefault="001507E1" w:rsidP="001507E1">
      <w:pPr>
        <w:ind w:firstLine="0"/>
        <w:rPr>
          <w:b/>
          <w:sz w:val="22"/>
          <w:szCs w:val="22"/>
          <w:lang w:val="en-US"/>
        </w:rPr>
      </w:pPr>
      <w:r w:rsidRPr="00AA714C">
        <w:rPr>
          <w:b/>
          <w:sz w:val="22"/>
          <w:szCs w:val="22"/>
          <w:lang w:val="en-US"/>
        </w:rPr>
        <w:t>References</w:t>
      </w:r>
    </w:p>
    <w:p w14:paraId="7A3554CA" w14:textId="533E2F2C" w:rsidR="00AA714C" w:rsidRPr="00AA714C" w:rsidRDefault="00AA714C" w:rsidP="00AA714C">
      <w:pPr>
        <w:autoSpaceDE w:val="0"/>
        <w:autoSpaceDN w:val="0"/>
        <w:adjustRightInd w:val="0"/>
        <w:ind w:firstLine="0"/>
        <w:rPr>
          <w:sz w:val="22"/>
          <w:szCs w:val="22"/>
        </w:rPr>
      </w:pPr>
      <w:r w:rsidRPr="00AA714C">
        <w:rPr>
          <w:sz w:val="22"/>
          <w:szCs w:val="22"/>
        </w:rPr>
        <w:t>Cir</w:t>
      </w:r>
      <w:r w:rsidRPr="00AA714C">
        <w:rPr>
          <w:sz w:val="22"/>
          <w:szCs w:val="22"/>
        </w:rPr>
        <w:t xml:space="preserve">ilo, E. R., </w:t>
      </w:r>
      <w:proofErr w:type="spellStart"/>
      <w:r w:rsidRPr="00AA714C">
        <w:rPr>
          <w:sz w:val="22"/>
          <w:szCs w:val="22"/>
        </w:rPr>
        <w:t>Figliaggi</w:t>
      </w:r>
      <w:proofErr w:type="spellEnd"/>
      <w:r w:rsidRPr="00AA714C">
        <w:rPr>
          <w:sz w:val="22"/>
          <w:szCs w:val="22"/>
        </w:rPr>
        <w:t xml:space="preserve">, B. R. M., &amp; </w:t>
      </w:r>
      <w:proofErr w:type="spellStart"/>
      <w:r w:rsidRPr="00AA714C">
        <w:rPr>
          <w:sz w:val="22"/>
          <w:szCs w:val="22"/>
        </w:rPr>
        <w:t>Natti</w:t>
      </w:r>
      <w:proofErr w:type="spellEnd"/>
      <w:r w:rsidRPr="00AA714C">
        <w:rPr>
          <w:sz w:val="22"/>
          <w:szCs w:val="22"/>
        </w:rPr>
        <w:t xml:space="preserve">, P. L. (2023). </w:t>
      </w:r>
      <w:r w:rsidRPr="00AA714C">
        <w:rPr>
          <w:sz w:val="22"/>
          <w:szCs w:val="22"/>
          <w:lang w:val="en-US"/>
        </w:rPr>
        <w:t>Quality parameter for edge representation of images</w:t>
      </w:r>
      <w:r w:rsidRPr="00AA714C">
        <w:rPr>
          <w:sz w:val="22"/>
          <w:szCs w:val="22"/>
          <w:lang w:val="en-US"/>
        </w:rPr>
        <w:t xml:space="preserve"> </w:t>
      </w:r>
      <w:r w:rsidRPr="00AA714C">
        <w:rPr>
          <w:sz w:val="22"/>
          <w:szCs w:val="22"/>
          <w:lang w:val="en-US"/>
        </w:rPr>
        <w:t xml:space="preserve">via cubic spline. </w:t>
      </w:r>
      <w:r w:rsidRPr="00AA714C">
        <w:rPr>
          <w:sz w:val="22"/>
          <w:szCs w:val="22"/>
        </w:rPr>
        <w:t xml:space="preserve">Semina: Ciências Exatas e Tecnológicas, 44, e47720. </w:t>
      </w:r>
      <w:hyperlink r:id="rId14" w:history="1">
        <w:r w:rsidRPr="00AA714C">
          <w:rPr>
            <w:rStyle w:val="Hyperlink"/>
            <w:sz w:val="22"/>
            <w:szCs w:val="22"/>
          </w:rPr>
          <w:t>https://doi.org/10.5433/16790375.2023.v44.47720</w:t>
        </w:r>
      </w:hyperlink>
    </w:p>
    <w:p w14:paraId="6B02C7EF" w14:textId="442C43BC" w:rsidR="00AA714C" w:rsidRPr="00AA714C" w:rsidRDefault="00AA714C" w:rsidP="00AA714C">
      <w:pPr>
        <w:autoSpaceDE w:val="0"/>
        <w:autoSpaceDN w:val="0"/>
        <w:adjustRightInd w:val="0"/>
        <w:ind w:firstLine="0"/>
        <w:rPr>
          <w:sz w:val="22"/>
          <w:szCs w:val="22"/>
        </w:rPr>
      </w:pPr>
    </w:p>
    <w:p w14:paraId="6ED583BF" w14:textId="729068D2" w:rsidR="001507E1" w:rsidRPr="00AA714C" w:rsidRDefault="00AA714C" w:rsidP="00AA714C">
      <w:pPr>
        <w:autoSpaceDE w:val="0"/>
        <w:autoSpaceDN w:val="0"/>
        <w:adjustRightInd w:val="0"/>
        <w:ind w:firstLine="0"/>
        <w:rPr>
          <w:sz w:val="22"/>
          <w:szCs w:val="22"/>
        </w:rPr>
      </w:pPr>
      <w:r w:rsidRPr="00AA714C">
        <w:rPr>
          <w:sz w:val="22"/>
          <w:szCs w:val="22"/>
        </w:rPr>
        <w:lastRenderedPageBreak/>
        <w:t xml:space="preserve">Santos, H. S. P. T., </w:t>
      </w:r>
      <w:proofErr w:type="spellStart"/>
      <w:r w:rsidRPr="00AA714C">
        <w:rPr>
          <w:sz w:val="22"/>
          <w:szCs w:val="22"/>
        </w:rPr>
        <w:t>Cirillo</w:t>
      </w:r>
      <w:proofErr w:type="spellEnd"/>
      <w:r w:rsidRPr="00AA714C">
        <w:rPr>
          <w:sz w:val="22"/>
          <w:szCs w:val="22"/>
        </w:rPr>
        <w:t xml:space="preserve">, M. A., </w:t>
      </w:r>
      <w:proofErr w:type="spellStart"/>
      <w:r w:rsidRPr="00AA714C">
        <w:rPr>
          <w:sz w:val="22"/>
          <w:szCs w:val="22"/>
        </w:rPr>
        <w:t>Borém</w:t>
      </w:r>
      <w:proofErr w:type="spellEnd"/>
      <w:r w:rsidRPr="00AA714C">
        <w:rPr>
          <w:sz w:val="22"/>
          <w:szCs w:val="22"/>
        </w:rPr>
        <w:t xml:space="preserve">, F. M., &amp; </w:t>
      </w:r>
      <w:proofErr w:type="spellStart"/>
      <w:r w:rsidRPr="00AA714C">
        <w:rPr>
          <w:sz w:val="22"/>
          <w:szCs w:val="22"/>
        </w:rPr>
        <w:t>Rebaza</w:t>
      </w:r>
      <w:proofErr w:type="spellEnd"/>
      <w:r w:rsidRPr="00AA714C">
        <w:rPr>
          <w:sz w:val="22"/>
          <w:szCs w:val="22"/>
        </w:rPr>
        <w:t xml:space="preserve"> Fernández, D. D. R. (2023). </w:t>
      </w:r>
      <w:r w:rsidRPr="00AA714C">
        <w:rPr>
          <w:sz w:val="22"/>
          <w:szCs w:val="22"/>
          <w:lang w:val="en-US"/>
        </w:rPr>
        <w:t>Nonlinear canonical</w:t>
      </w:r>
      <w:r w:rsidRPr="00AA714C">
        <w:rPr>
          <w:sz w:val="22"/>
          <w:szCs w:val="22"/>
          <w:lang w:val="en-US"/>
        </w:rPr>
        <w:t xml:space="preserve"> </w:t>
      </w:r>
      <w:r w:rsidRPr="00AA714C">
        <w:rPr>
          <w:sz w:val="22"/>
          <w:szCs w:val="22"/>
          <w:lang w:val="en-US"/>
        </w:rPr>
        <w:t xml:space="preserve">correspondence analysis: Description of the data of coffee. </w:t>
      </w:r>
      <w:r w:rsidRPr="00AA714C">
        <w:rPr>
          <w:sz w:val="22"/>
          <w:szCs w:val="22"/>
        </w:rPr>
        <w:t>Semina: Ciências Exatas e Tecnológicas,</w:t>
      </w:r>
      <w:r w:rsidRPr="00AA714C">
        <w:rPr>
          <w:sz w:val="22"/>
          <w:szCs w:val="22"/>
        </w:rPr>
        <w:t xml:space="preserve"> </w:t>
      </w:r>
      <w:r w:rsidRPr="00AA714C">
        <w:rPr>
          <w:sz w:val="22"/>
          <w:szCs w:val="22"/>
        </w:rPr>
        <w:t xml:space="preserve">44, e47875. </w:t>
      </w:r>
      <w:hyperlink r:id="rId15" w:history="1">
        <w:r w:rsidRPr="00AA714C">
          <w:rPr>
            <w:rStyle w:val="Hyperlink"/>
            <w:sz w:val="22"/>
            <w:szCs w:val="22"/>
          </w:rPr>
          <w:t>https://doi.org/10.5433/1679-0375.2023.v44.47875</w:t>
        </w:r>
      </w:hyperlink>
    </w:p>
    <w:p w14:paraId="1147E7FD" w14:textId="77777777" w:rsidR="00AA714C" w:rsidRDefault="00AA714C" w:rsidP="00AA714C">
      <w:pPr>
        <w:autoSpaceDE w:val="0"/>
        <w:autoSpaceDN w:val="0"/>
        <w:adjustRightInd w:val="0"/>
        <w:ind w:firstLine="0"/>
        <w:rPr>
          <w:sz w:val="22"/>
          <w:szCs w:val="22"/>
        </w:rPr>
      </w:pPr>
    </w:p>
    <w:p w14:paraId="7EFA4493" w14:textId="77777777" w:rsidR="00AA714C" w:rsidRDefault="00AA714C" w:rsidP="00AA714C">
      <w:pPr>
        <w:autoSpaceDE w:val="0"/>
        <w:autoSpaceDN w:val="0"/>
        <w:adjustRightInd w:val="0"/>
        <w:ind w:firstLine="0"/>
        <w:rPr>
          <w:sz w:val="22"/>
          <w:szCs w:val="22"/>
        </w:rPr>
      </w:pPr>
    </w:p>
    <w:p w14:paraId="5DD2DCFC" w14:textId="77777777" w:rsidR="00AA714C" w:rsidRDefault="00AA714C" w:rsidP="00AA714C">
      <w:pPr>
        <w:autoSpaceDE w:val="0"/>
        <w:autoSpaceDN w:val="0"/>
        <w:adjustRightInd w:val="0"/>
        <w:ind w:firstLine="0"/>
        <w:rPr>
          <w:sz w:val="22"/>
          <w:szCs w:val="22"/>
        </w:rPr>
      </w:pPr>
    </w:p>
    <w:p w14:paraId="7D373092" w14:textId="77777777" w:rsidR="00AA714C" w:rsidRDefault="00AA714C" w:rsidP="00AA714C">
      <w:pPr>
        <w:autoSpaceDE w:val="0"/>
        <w:autoSpaceDN w:val="0"/>
        <w:adjustRightInd w:val="0"/>
        <w:ind w:firstLine="0"/>
        <w:rPr>
          <w:sz w:val="22"/>
          <w:szCs w:val="22"/>
        </w:rPr>
      </w:pPr>
    </w:p>
    <w:p w14:paraId="71A3364C" w14:textId="77777777" w:rsidR="00AA714C" w:rsidRPr="00AA714C" w:rsidRDefault="00AA714C" w:rsidP="00AA714C">
      <w:pPr>
        <w:autoSpaceDE w:val="0"/>
        <w:autoSpaceDN w:val="0"/>
        <w:adjustRightInd w:val="0"/>
        <w:ind w:firstLine="0"/>
        <w:rPr>
          <w:sz w:val="22"/>
          <w:szCs w:val="22"/>
        </w:rPr>
        <w:sectPr w:rsidR="00AA714C" w:rsidRPr="00AA714C" w:rsidSect="00AA714C">
          <w:type w:val="continuous"/>
          <w:pgSz w:w="11907" w:h="16840" w:code="9"/>
          <w:pgMar w:top="1985" w:right="964" w:bottom="1814" w:left="1134" w:header="1418" w:footer="851" w:gutter="0"/>
          <w:cols w:space="170"/>
          <w:titlePg/>
        </w:sectPr>
      </w:pPr>
    </w:p>
    <w:p w14:paraId="51485ABC" w14:textId="77777777" w:rsidR="00AA714C" w:rsidRPr="00AA714C" w:rsidRDefault="00AA714C" w:rsidP="00AA714C">
      <w:pPr>
        <w:autoSpaceDE w:val="0"/>
        <w:autoSpaceDN w:val="0"/>
        <w:adjustRightInd w:val="0"/>
        <w:ind w:firstLine="0"/>
        <w:rPr>
          <w:sz w:val="22"/>
          <w:szCs w:val="22"/>
        </w:rPr>
      </w:pPr>
    </w:p>
    <w:sectPr w:rsidR="00AA714C" w:rsidRPr="00AA714C" w:rsidSect="005641CE">
      <w:type w:val="continuous"/>
      <w:pgSz w:w="11907" w:h="16840" w:code="9"/>
      <w:pgMar w:top="1985" w:right="964" w:bottom="1814" w:left="1134" w:header="1418" w:footer="851" w:gutter="0"/>
      <w:cols w:num="2" w:space="17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6E5D0" w14:textId="77777777" w:rsidR="002B1B97" w:rsidRDefault="002B1B97">
      <w:r>
        <w:separator/>
      </w:r>
    </w:p>
  </w:endnote>
  <w:endnote w:type="continuationSeparator" w:id="0">
    <w:p w14:paraId="731D9779" w14:textId="77777777" w:rsidR="002B1B97" w:rsidRDefault="002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680"/>
      <w:gridCol w:w="8505"/>
      <w:gridCol w:w="680"/>
    </w:tblGrid>
    <w:tr w:rsidR="008227E0" w14:paraId="1EECB711" w14:textId="77777777">
      <w:trPr>
        <w:cantSplit/>
      </w:trPr>
      <w:tc>
        <w:tcPr>
          <w:tcW w:w="680" w:type="dxa"/>
          <w:vMerge w:val="restart"/>
          <w:vAlign w:val="center"/>
        </w:tcPr>
        <w:p w14:paraId="676F3DC1" w14:textId="77777777" w:rsidR="008227E0" w:rsidRDefault="008227E0">
          <w:pPr>
            <w:pStyle w:val="Rodap"/>
            <w:ind w:firstLine="0"/>
            <w:jc w:val="left"/>
          </w:pPr>
        </w:p>
      </w:tc>
      <w:tc>
        <w:tcPr>
          <w:tcW w:w="8505" w:type="dxa"/>
        </w:tcPr>
        <w:p w14:paraId="31A1122B" w14:textId="77777777" w:rsidR="008227E0" w:rsidRDefault="008227E0">
          <w:pPr>
            <w:pStyle w:val="Rodap"/>
            <w:ind w:firstLine="0"/>
            <w:rPr>
              <w:sz w:val="18"/>
            </w:rPr>
          </w:pPr>
        </w:p>
      </w:tc>
      <w:tc>
        <w:tcPr>
          <w:tcW w:w="680" w:type="dxa"/>
          <w:vMerge w:val="restart"/>
          <w:tcBorders>
            <w:top w:val="nil"/>
            <w:bottom w:val="nil"/>
          </w:tcBorders>
          <w:vAlign w:val="center"/>
        </w:tcPr>
        <w:p w14:paraId="0B42DB88" w14:textId="77777777" w:rsidR="008227E0" w:rsidRPr="00266B5B" w:rsidRDefault="005641CE">
          <w:pPr>
            <w:pStyle w:val="Rodap"/>
            <w:ind w:firstLine="0"/>
            <w:jc w:val="right"/>
          </w:pPr>
          <w:r>
            <w:rPr>
              <w:noProof/>
            </w:rPr>
            <w:fldChar w:fldCharType="begin"/>
          </w:r>
          <w:r>
            <w:rPr>
              <w:noProof/>
            </w:rPr>
            <w:instrText xml:space="preserve"> PAGE </w:instrText>
          </w:r>
          <w:r>
            <w:rPr>
              <w:noProof/>
            </w:rPr>
            <w:fldChar w:fldCharType="separate"/>
          </w:r>
          <w:r>
            <w:rPr>
              <w:noProof/>
            </w:rPr>
            <w:t>3</w:t>
          </w:r>
          <w:r>
            <w:rPr>
              <w:noProof/>
            </w:rPr>
            <w:fldChar w:fldCharType="end"/>
          </w:r>
        </w:p>
      </w:tc>
    </w:tr>
    <w:tr w:rsidR="008227E0" w:rsidRPr="005D0F34" w14:paraId="5390468A" w14:textId="77777777">
      <w:trPr>
        <w:cantSplit/>
      </w:trPr>
      <w:tc>
        <w:tcPr>
          <w:tcW w:w="680" w:type="dxa"/>
          <w:vMerge/>
        </w:tcPr>
        <w:p w14:paraId="7A37C5AA" w14:textId="77777777" w:rsidR="008227E0" w:rsidRDefault="008227E0">
          <w:pPr>
            <w:pStyle w:val="Rodap"/>
            <w:ind w:firstLine="0"/>
          </w:pPr>
        </w:p>
      </w:tc>
      <w:tc>
        <w:tcPr>
          <w:tcW w:w="8505" w:type="dxa"/>
        </w:tcPr>
        <w:p w14:paraId="48A6F754" w14:textId="77777777" w:rsidR="008227E0" w:rsidRPr="008A19D6" w:rsidRDefault="008A19D6" w:rsidP="00873928">
          <w:pPr>
            <w:pStyle w:val="Rodap"/>
            <w:spacing w:before="60"/>
            <w:ind w:firstLine="0"/>
            <w:jc w:val="center"/>
            <w:rPr>
              <w:sz w:val="18"/>
              <w:lang w:val="en-US"/>
            </w:rPr>
          </w:pPr>
          <w:r w:rsidRPr="00C532C2">
            <w:rPr>
              <w:sz w:val="18"/>
              <w:szCs w:val="18"/>
              <w:lang w:val="en-US"/>
            </w:rPr>
            <w:t>Semina: Exact and Technological Sciences, Londrina</w:t>
          </w:r>
          <w:r w:rsidR="008227E0" w:rsidRPr="008A19D6">
            <w:rPr>
              <w:sz w:val="18"/>
              <w:lang w:val="en-US"/>
            </w:rPr>
            <w:t xml:space="preserve">, v. 26, n. 2, p. 195-303, </w:t>
          </w:r>
          <w:proofErr w:type="spellStart"/>
          <w:proofErr w:type="gramStart"/>
          <w:r w:rsidR="008227E0" w:rsidRPr="008A19D6">
            <w:rPr>
              <w:sz w:val="18"/>
              <w:lang w:val="en-US"/>
            </w:rPr>
            <w:t>jul.</w:t>
          </w:r>
          <w:proofErr w:type="spellEnd"/>
          <w:r w:rsidR="008227E0" w:rsidRPr="008A19D6">
            <w:rPr>
              <w:sz w:val="18"/>
              <w:lang w:val="en-US"/>
            </w:rPr>
            <w:t>/</w:t>
          </w:r>
          <w:proofErr w:type="spellStart"/>
          <w:proofErr w:type="gramEnd"/>
          <w:r w:rsidR="008227E0" w:rsidRPr="008A19D6">
            <w:rPr>
              <w:sz w:val="18"/>
              <w:lang w:val="en-US"/>
            </w:rPr>
            <w:t>dez</w:t>
          </w:r>
          <w:proofErr w:type="spellEnd"/>
          <w:r w:rsidR="008227E0" w:rsidRPr="008A19D6">
            <w:rPr>
              <w:sz w:val="18"/>
              <w:lang w:val="en-US"/>
            </w:rPr>
            <w:t>. 2005</w:t>
          </w:r>
        </w:p>
      </w:tc>
      <w:tc>
        <w:tcPr>
          <w:tcW w:w="680" w:type="dxa"/>
          <w:vMerge/>
          <w:tcBorders>
            <w:top w:val="nil"/>
            <w:bottom w:val="nil"/>
          </w:tcBorders>
        </w:tcPr>
        <w:p w14:paraId="486B32FF" w14:textId="77777777" w:rsidR="008227E0" w:rsidRPr="008A19D6" w:rsidRDefault="008227E0">
          <w:pPr>
            <w:pStyle w:val="Rodap"/>
            <w:ind w:firstLine="0"/>
            <w:rPr>
              <w:sz w:val="18"/>
              <w:lang w:val="en-US"/>
            </w:rPr>
          </w:pPr>
        </w:p>
      </w:tc>
    </w:tr>
  </w:tbl>
  <w:p w14:paraId="60EEF72B" w14:textId="77777777" w:rsidR="008227E0" w:rsidRPr="008A19D6" w:rsidRDefault="008227E0">
    <w:pPr>
      <w:pStyle w:val="Rodap"/>
      <w:ind w:firstLine="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DB02" w14:textId="77777777" w:rsidR="002B1B97" w:rsidRDefault="002B1B97">
      <w:r>
        <w:separator/>
      </w:r>
    </w:p>
  </w:footnote>
  <w:footnote w:type="continuationSeparator" w:id="0">
    <w:p w14:paraId="3CCBE7BB" w14:textId="77777777" w:rsidR="002B1B97" w:rsidRDefault="002B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EE0D" w14:textId="77777777" w:rsidR="008227E0" w:rsidRPr="000E7EB3" w:rsidRDefault="008227E0">
    <w:pPr>
      <w:pStyle w:val="Cabealho"/>
      <w:pBdr>
        <w:bottom w:val="single" w:sz="4" w:space="1" w:color="auto"/>
      </w:pBdr>
      <w:jc w:val="center"/>
      <w:rPr>
        <w:smallCaps/>
        <w:sz w:val="16"/>
        <w:szCs w:val="16"/>
      </w:rPr>
    </w:pPr>
    <w:proofErr w:type="spellStart"/>
    <w:r w:rsidRPr="000E7EB3">
      <w:rPr>
        <w:smallCaps/>
        <w:sz w:val="16"/>
        <w:szCs w:val="16"/>
      </w:rPr>
      <w:t>Ciriaco</w:t>
    </w:r>
    <w:proofErr w:type="spellEnd"/>
    <w:r w:rsidRPr="000E7EB3">
      <w:rPr>
        <w:smallCaps/>
        <w:sz w:val="16"/>
        <w:szCs w:val="16"/>
      </w:rPr>
      <w:t xml:space="preserve">, F.; Oliveira, L. D.; Abrão, T.; </w:t>
    </w:r>
    <w:proofErr w:type="spellStart"/>
    <w:r w:rsidRPr="000E7EB3">
      <w:rPr>
        <w:smallCaps/>
        <w:sz w:val="16"/>
        <w:szCs w:val="16"/>
      </w:rPr>
      <w:t>Jeszensky</w:t>
    </w:r>
    <w:proofErr w:type="spellEnd"/>
    <w:r w:rsidRPr="000E7EB3">
      <w:rPr>
        <w:smallCaps/>
        <w:sz w:val="16"/>
        <w:szCs w:val="16"/>
      </w:rPr>
      <w:t>, P. J.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36402" w14:textId="77777777" w:rsidR="008227E0" w:rsidRPr="008A19D6" w:rsidRDefault="008A19D6" w:rsidP="008A19D6">
    <w:pPr>
      <w:pStyle w:val="Cabealho"/>
      <w:jc w:val="center"/>
      <w:rPr>
        <w:sz w:val="18"/>
        <w:szCs w:val="18"/>
        <w:lang w:val="en-US"/>
      </w:rPr>
    </w:pPr>
    <w:r w:rsidRPr="008A19D6">
      <w:rPr>
        <w:sz w:val="18"/>
        <w:szCs w:val="18"/>
        <w:lang w:val="en-US"/>
      </w:rPr>
      <w:t>Write here the title of the article in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9613B"/>
    <w:multiLevelType w:val="multilevel"/>
    <w:tmpl w:val="E0223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715E1"/>
    <w:multiLevelType w:val="multilevel"/>
    <w:tmpl w:val="2F9E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02320"/>
    <w:multiLevelType w:val="singleLevel"/>
    <w:tmpl w:val="428A3B2C"/>
    <w:lvl w:ilvl="0">
      <w:start w:val="1"/>
      <w:numFmt w:val="decimal"/>
      <w:pStyle w:val="Dados"/>
      <w:lvlText w:val="%1"/>
      <w:lvlJc w:val="left"/>
      <w:pPr>
        <w:tabs>
          <w:tab w:val="num" w:pos="360"/>
        </w:tabs>
        <w:ind w:left="360" w:hanging="360"/>
      </w:pPr>
      <w:rPr>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56A5F45"/>
    <w:multiLevelType w:val="hybridMultilevel"/>
    <w:tmpl w:val="44ACD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9227A2"/>
    <w:multiLevelType w:val="singleLevel"/>
    <w:tmpl w:val="6764010E"/>
    <w:lvl w:ilvl="0">
      <w:start w:val="1"/>
      <w:numFmt w:val="decimal"/>
      <w:pStyle w:val="Ttulo1"/>
      <w:lvlText w:val="%1"/>
      <w:lvlJc w:val="left"/>
      <w:pPr>
        <w:tabs>
          <w:tab w:val="num" w:pos="360"/>
        </w:tabs>
        <w:ind w:left="360" w:hanging="360"/>
      </w:pPr>
    </w:lvl>
  </w:abstractNum>
  <w:abstractNum w:abstractNumId="5" w15:restartNumberingAfterBreak="0">
    <w:nsid w:val="566237AB"/>
    <w:multiLevelType w:val="singleLevel"/>
    <w:tmpl w:val="EA369F38"/>
    <w:lvl w:ilvl="0">
      <w:start w:val="1"/>
      <w:numFmt w:val="decimal"/>
      <w:lvlText w:val="%1"/>
      <w:lvlJc w:val="left"/>
      <w:pPr>
        <w:tabs>
          <w:tab w:val="num" w:pos="360"/>
        </w:tabs>
        <w:ind w:left="360" w:hanging="360"/>
      </w:pPr>
      <w:rPr>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69D0EE3"/>
    <w:multiLevelType w:val="hybridMultilevel"/>
    <w:tmpl w:val="89E0E46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67A97EAF"/>
    <w:multiLevelType w:val="hybridMultilevel"/>
    <w:tmpl w:val="91C22506"/>
    <w:lvl w:ilvl="0" w:tplc="04160001">
      <w:start w:val="1"/>
      <w:numFmt w:val="bullet"/>
      <w:lvlText w:val=""/>
      <w:lvlJc w:val="left"/>
      <w:pPr>
        <w:ind w:left="1277" w:hanging="360"/>
      </w:pPr>
      <w:rPr>
        <w:rFonts w:ascii="Symbol" w:hAnsi="Symbol" w:hint="default"/>
      </w:rPr>
    </w:lvl>
    <w:lvl w:ilvl="1" w:tplc="04160003" w:tentative="1">
      <w:start w:val="1"/>
      <w:numFmt w:val="bullet"/>
      <w:lvlText w:val="o"/>
      <w:lvlJc w:val="left"/>
      <w:pPr>
        <w:ind w:left="1997" w:hanging="360"/>
      </w:pPr>
      <w:rPr>
        <w:rFonts w:ascii="Courier New" w:hAnsi="Courier New" w:cs="Courier New" w:hint="default"/>
      </w:rPr>
    </w:lvl>
    <w:lvl w:ilvl="2" w:tplc="04160005" w:tentative="1">
      <w:start w:val="1"/>
      <w:numFmt w:val="bullet"/>
      <w:lvlText w:val=""/>
      <w:lvlJc w:val="left"/>
      <w:pPr>
        <w:ind w:left="2717" w:hanging="360"/>
      </w:pPr>
      <w:rPr>
        <w:rFonts w:ascii="Wingdings" w:hAnsi="Wingdings" w:hint="default"/>
      </w:rPr>
    </w:lvl>
    <w:lvl w:ilvl="3" w:tplc="04160001" w:tentative="1">
      <w:start w:val="1"/>
      <w:numFmt w:val="bullet"/>
      <w:lvlText w:val=""/>
      <w:lvlJc w:val="left"/>
      <w:pPr>
        <w:ind w:left="3437" w:hanging="360"/>
      </w:pPr>
      <w:rPr>
        <w:rFonts w:ascii="Symbol" w:hAnsi="Symbol" w:hint="default"/>
      </w:rPr>
    </w:lvl>
    <w:lvl w:ilvl="4" w:tplc="04160003" w:tentative="1">
      <w:start w:val="1"/>
      <w:numFmt w:val="bullet"/>
      <w:lvlText w:val="o"/>
      <w:lvlJc w:val="left"/>
      <w:pPr>
        <w:ind w:left="4157" w:hanging="360"/>
      </w:pPr>
      <w:rPr>
        <w:rFonts w:ascii="Courier New" w:hAnsi="Courier New" w:cs="Courier New" w:hint="default"/>
      </w:rPr>
    </w:lvl>
    <w:lvl w:ilvl="5" w:tplc="04160005" w:tentative="1">
      <w:start w:val="1"/>
      <w:numFmt w:val="bullet"/>
      <w:lvlText w:val=""/>
      <w:lvlJc w:val="left"/>
      <w:pPr>
        <w:ind w:left="4877" w:hanging="360"/>
      </w:pPr>
      <w:rPr>
        <w:rFonts w:ascii="Wingdings" w:hAnsi="Wingdings" w:hint="default"/>
      </w:rPr>
    </w:lvl>
    <w:lvl w:ilvl="6" w:tplc="04160001" w:tentative="1">
      <w:start w:val="1"/>
      <w:numFmt w:val="bullet"/>
      <w:lvlText w:val=""/>
      <w:lvlJc w:val="left"/>
      <w:pPr>
        <w:ind w:left="5597" w:hanging="360"/>
      </w:pPr>
      <w:rPr>
        <w:rFonts w:ascii="Symbol" w:hAnsi="Symbol" w:hint="default"/>
      </w:rPr>
    </w:lvl>
    <w:lvl w:ilvl="7" w:tplc="04160003" w:tentative="1">
      <w:start w:val="1"/>
      <w:numFmt w:val="bullet"/>
      <w:lvlText w:val="o"/>
      <w:lvlJc w:val="left"/>
      <w:pPr>
        <w:ind w:left="6317" w:hanging="360"/>
      </w:pPr>
      <w:rPr>
        <w:rFonts w:ascii="Courier New" w:hAnsi="Courier New" w:cs="Courier New" w:hint="default"/>
      </w:rPr>
    </w:lvl>
    <w:lvl w:ilvl="8" w:tplc="04160005" w:tentative="1">
      <w:start w:val="1"/>
      <w:numFmt w:val="bullet"/>
      <w:lvlText w:val=""/>
      <w:lvlJc w:val="left"/>
      <w:pPr>
        <w:ind w:left="7037" w:hanging="360"/>
      </w:pPr>
      <w:rPr>
        <w:rFonts w:ascii="Wingdings" w:hAnsi="Wingdings" w:hint="default"/>
      </w:rPr>
    </w:lvl>
  </w:abstractNum>
  <w:abstractNum w:abstractNumId="8" w15:restartNumberingAfterBreak="0">
    <w:nsid w:val="6A8E0B94"/>
    <w:multiLevelType w:val="hybridMultilevel"/>
    <w:tmpl w:val="72D82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C44E96"/>
    <w:multiLevelType w:val="singleLevel"/>
    <w:tmpl w:val="4AB6974A"/>
    <w:lvl w:ilvl="0">
      <w:start w:val="1"/>
      <w:numFmt w:val="decimal"/>
      <w:lvlText w:val="%1"/>
      <w:lvlJc w:val="left"/>
      <w:pPr>
        <w:tabs>
          <w:tab w:val="num" w:pos="360"/>
        </w:tabs>
        <w:ind w:left="360" w:hanging="360"/>
      </w:pPr>
      <w:rPr>
        <w:vertAlign w:val="superscript"/>
      </w:rPr>
    </w:lvl>
  </w:abstractNum>
  <w:abstractNum w:abstractNumId="10" w15:restartNumberingAfterBreak="0">
    <w:nsid w:val="70A657A5"/>
    <w:multiLevelType w:val="hybridMultilevel"/>
    <w:tmpl w:val="E24AA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47A34F6"/>
    <w:multiLevelType w:val="singleLevel"/>
    <w:tmpl w:val="CCB274E4"/>
    <w:lvl w:ilvl="0">
      <w:start w:val="1"/>
      <w:numFmt w:val="decimal"/>
      <w:lvlText w:val="%1"/>
      <w:lvlJc w:val="left"/>
      <w:pPr>
        <w:tabs>
          <w:tab w:val="num" w:pos="417"/>
        </w:tabs>
        <w:ind w:left="0" w:firstLine="57"/>
      </w:pPr>
      <w:rPr>
        <w:vertAlign w:val="superscript"/>
      </w:rPr>
    </w:lvl>
  </w:abstractNum>
  <w:num w:numId="1" w16cid:durableId="1177185926">
    <w:abstractNumId w:val="4"/>
  </w:num>
  <w:num w:numId="2" w16cid:durableId="2014870733">
    <w:abstractNumId w:val="9"/>
  </w:num>
  <w:num w:numId="3" w16cid:durableId="416175771">
    <w:abstractNumId w:val="11"/>
  </w:num>
  <w:num w:numId="4" w16cid:durableId="1950549658">
    <w:abstractNumId w:val="5"/>
  </w:num>
  <w:num w:numId="5" w16cid:durableId="61603886">
    <w:abstractNumId w:val="2"/>
  </w:num>
  <w:num w:numId="6" w16cid:durableId="184372935">
    <w:abstractNumId w:val="6"/>
  </w:num>
  <w:num w:numId="7" w16cid:durableId="1911573016">
    <w:abstractNumId w:val="7"/>
  </w:num>
  <w:num w:numId="8" w16cid:durableId="1372221564">
    <w:abstractNumId w:val="3"/>
  </w:num>
  <w:num w:numId="9" w16cid:durableId="1952855583">
    <w:abstractNumId w:val="8"/>
  </w:num>
  <w:num w:numId="10" w16cid:durableId="1464692630">
    <w:abstractNumId w:val="10"/>
  </w:num>
  <w:num w:numId="11" w16cid:durableId="515270676">
    <w:abstractNumId w:val="1"/>
  </w:num>
  <w:num w:numId="12" w16cid:durableId="35750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wN7EwtDQyMDQxNzJS0lEKTi0uzszPAykwrAUA58PLwiwAAAA="/>
  </w:docVars>
  <w:rsids>
    <w:rsidRoot w:val="00FD30F4"/>
    <w:rsid w:val="000121AD"/>
    <w:rsid w:val="000C4394"/>
    <w:rsid w:val="000E7EB3"/>
    <w:rsid w:val="001507E1"/>
    <w:rsid w:val="00185228"/>
    <w:rsid w:val="001D449E"/>
    <w:rsid w:val="002235D4"/>
    <w:rsid w:val="00251A64"/>
    <w:rsid w:val="00266B5B"/>
    <w:rsid w:val="00274290"/>
    <w:rsid w:val="002A7759"/>
    <w:rsid w:val="002B1B97"/>
    <w:rsid w:val="002C74ED"/>
    <w:rsid w:val="002D398E"/>
    <w:rsid w:val="002F13C3"/>
    <w:rsid w:val="00301654"/>
    <w:rsid w:val="00302F85"/>
    <w:rsid w:val="00323304"/>
    <w:rsid w:val="003773AE"/>
    <w:rsid w:val="003C2984"/>
    <w:rsid w:val="00412F98"/>
    <w:rsid w:val="004B17E3"/>
    <w:rsid w:val="004F5456"/>
    <w:rsid w:val="00521D0E"/>
    <w:rsid w:val="00527C5C"/>
    <w:rsid w:val="005335BB"/>
    <w:rsid w:val="005641CE"/>
    <w:rsid w:val="005967AB"/>
    <w:rsid w:val="005A3EAA"/>
    <w:rsid w:val="005D0F34"/>
    <w:rsid w:val="0065547F"/>
    <w:rsid w:val="00677854"/>
    <w:rsid w:val="006D0A82"/>
    <w:rsid w:val="00772322"/>
    <w:rsid w:val="00774648"/>
    <w:rsid w:val="007767EC"/>
    <w:rsid w:val="008227E0"/>
    <w:rsid w:val="00873928"/>
    <w:rsid w:val="008A19D6"/>
    <w:rsid w:val="00953846"/>
    <w:rsid w:val="00976C64"/>
    <w:rsid w:val="009E7697"/>
    <w:rsid w:val="00A754B4"/>
    <w:rsid w:val="00AA714C"/>
    <w:rsid w:val="00AD3013"/>
    <w:rsid w:val="00B53D84"/>
    <w:rsid w:val="00C532C2"/>
    <w:rsid w:val="00C64DB4"/>
    <w:rsid w:val="00C808E2"/>
    <w:rsid w:val="00C8702A"/>
    <w:rsid w:val="00CB7AE5"/>
    <w:rsid w:val="00D275B5"/>
    <w:rsid w:val="00D44FF6"/>
    <w:rsid w:val="00D67A2F"/>
    <w:rsid w:val="00D7441B"/>
    <w:rsid w:val="00DA3EFE"/>
    <w:rsid w:val="00DD6E3A"/>
    <w:rsid w:val="00E13875"/>
    <w:rsid w:val="00ED2688"/>
    <w:rsid w:val="00ED6282"/>
    <w:rsid w:val="00ED6639"/>
    <w:rsid w:val="00EE0EDC"/>
    <w:rsid w:val="00F1582C"/>
    <w:rsid w:val="00F26ACB"/>
    <w:rsid w:val="00F46550"/>
    <w:rsid w:val="00F50AC5"/>
    <w:rsid w:val="00F736D0"/>
    <w:rsid w:val="00F82601"/>
    <w:rsid w:val="00FD30F4"/>
    <w:rsid w:val="00FE3234"/>
    <w:rsid w:val="00FE3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F1910"/>
  <w15:docId w15:val="{40DA3B44-B2A4-40A8-B479-E00F0F9D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170"/>
      <w:jc w:val="both"/>
    </w:pPr>
  </w:style>
  <w:style w:type="paragraph" w:styleId="Ttulo1">
    <w:name w:val="heading 1"/>
    <w:basedOn w:val="Normal"/>
    <w:next w:val="Normal"/>
    <w:qFormat/>
    <w:pPr>
      <w:keepNext/>
      <w:numPr>
        <w:numId w:val="1"/>
      </w:numPr>
      <w:spacing w:before="360" w:after="120"/>
      <w:ind w:left="357" w:hanging="357"/>
      <w:outlineLvl w:val="0"/>
    </w:pPr>
    <w:rPr>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Textodenotaderodap">
    <w:name w:val="footnote text"/>
    <w:basedOn w:val="Normal"/>
    <w:link w:val="TextodenotaderodapChar"/>
    <w:semiHidden/>
    <w:rPr>
      <w:sz w:val="16"/>
    </w:rPr>
  </w:style>
  <w:style w:type="paragraph" w:styleId="Ttulo">
    <w:name w:val="Title"/>
    <w:basedOn w:val="Normal"/>
    <w:qFormat/>
    <w:pPr>
      <w:spacing w:before="240" w:after="120"/>
      <w:ind w:firstLine="0"/>
      <w:jc w:val="center"/>
      <w:outlineLvl w:val="0"/>
    </w:pPr>
    <w:rPr>
      <w:b/>
      <w:kern w:val="28"/>
      <w:sz w:val="28"/>
    </w:rPr>
  </w:style>
  <w:style w:type="paragraph" w:customStyle="1" w:styleId="Referncia">
    <w:name w:val="Referência"/>
    <w:basedOn w:val="Normal"/>
    <w:rPr>
      <w:smallCaps/>
    </w:rPr>
  </w:style>
  <w:style w:type="paragraph" w:customStyle="1" w:styleId="Resumo">
    <w:name w:val="Resumo"/>
    <w:basedOn w:val="Normal"/>
    <w:pPr>
      <w:ind w:firstLine="0"/>
    </w:pPr>
    <w:rPr>
      <w:sz w:val="18"/>
    </w:rPr>
  </w:style>
  <w:style w:type="paragraph" w:customStyle="1" w:styleId="TitResumo">
    <w:name w:val="TitResumo"/>
    <w:basedOn w:val="Normal"/>
    <w:next w:val="Resumo"/>
    <w:pPr>
      <w:ind w:firstLine="0"/>
      <w:jc w:val="center"/>
    </w:pPr>
    <w:rPr>
      <w:b/>
    </w:rPr>
  </w:style>
  <w:style w:type="paragraph" w:customStyle="1" w:styleId="Ttulo10">
    <w:name w:val="Título1"/>
    <w:basedOn w:val="Ttulo"/>
    <w:pPr>
      <w:spacing w:after="240"/>
    </w:pPr>
    <w:rPr>
      <w:i/>
    </w:rPr>
  </w:style>
  <w:style w:type="paragraph" w:customStyle="1" w:styleId="Dados">
    <w:name w:val="Dados"/>
    <w:basedOn w:val="Normal"/>
    <w:pPr>
      <w:numPr>
        <w:numId w:val="5"/>
      </w:numPr>
      <w:ind w:left="357" w:hanging="357"/>
    </w:pPr>
    <w:rPr>
      <w:sz w:val="18"/>
    </w:rPr>
  </w:style>
  <w:style w:type="paragraph" w:customStyle="1" w:styleId="Autores">
    <w:name w:val="Autores"/>
    <w:basedOn w:val="Dados"/>
    <w:pPr>
      <w:spacing w:after="120"/>
      <w:jc w:val="center"/>
    </w:pPr>
    <w:rPr>
      <w:sz w:val="22"/>
    </w:rPr>
  </w:style>
  <w:style w:type="character" w:styleId="Refdenotaderodap">
    <w:name w:val="footnote reference"/>
    <w:semiHidden/>
    <w:rPr>
      <w:vertAlign w:val="superscript"/>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Legenda">
    <w:name w:val="caption"/>
    <w:basedOn w:val="Normal"/>
    <w:next w:val="Normal"/>
    <w:qFormat/>
    <w:pPr>
      <w:spacing w:before="120" w:after="120"/>
      <w:ind w:firstLine="0"/>
      <w:jc w:val="center"/>
    </w:pPr>
    <w:rPr>
      <w:sz w:val="18"/>
    </w:rPr>
  </w:style>
  <w:style w:type="paragraph" w:customStyle="1" w:styleId="TtuloRef">
    <w:name w:val="Título Ref."/>
    <w:basedOn w:val="Ttulo1"/>
    <w:pPr>
      <w:numPr>
        <w:numId w:val="0"/>
      </w:numPr>
    </w:pPr>
  </w:style>
  <w:style w:type="character" w:customStyle="1" w:styleId="TextodenotaderodapChar">
    <w:name w:val="Texto de nota de rodapé Char"/>
    <w:link w:val="Textodenotaderodap"/>
    <w:semiHidden/>
    <w:locked/>
    <w:rsid w:val="00301654"/>
    <w:rPr>
      <w:sz w:val="16"/>
    </w:rPr>
  </w:style>
  <w:style w:type="character" w:styleId="nfase">
    <w:name w:val="Emphasis"/>
    <w:basedOn w:val="Fontepargpadro"/>
    <w:uiPriority w:val="20"/>
    <w:qFormat/>
    <w:rsid w:val="002235D4"/>
    <w:rPr>
      <w:i/>
      <w:iCs/>
    </w:rPr>
  </w:style>
  <w:style w:type="paragraph" w:styleId="NormalWeb">
    <w:name w:val="Normal (Web)"/>
    <w:basedOn w:val="Normal"/>
    <w:uiPriority w:val="99"/>
    <w:rsid w:val="002235D4"/>
    <w:pPr>
      <w:spacing w:before="100" w:beforeAutospacing="1" w:after="100" w:afterAutospacing="1"/>
      <w:ind w:firstLine="0"/>
      <w:jc w:val="left"/>
    </w:pPr>
    <w:rPr>
      <w:sz w:val="24"/>
      <w:szCs w:val="24"/>
    </w:rPr>
  </w:style>
  <w:style w:type="character" w:styleId="Forte">
    <w:name w:val="Strong"/>
    <w:basedOn w:val="Fontepargpadro"/>
    <w:uiPriority w:val="22"/>
    <w:qFormat/>
    <w:rsid w:val="00AA714C"/>
    <w:rPr>
      <w:b/>
      <w:bCs/>
    </w:rPr>
  </w:style>
  <w:style w:type="character" w:customStyle="1" w:styleId="katex-mathml">
    <w:name w:val="katex-mathml"/>
    <w:basedOn w:val="Fontepargpadro"/>
    <w:rsid w:val="00AA714C"/>
  </w:style>
  <w:style w:type="character" w:customStyle="1" w:styleId="mord">
    <w:name w:val="mord"/>
    <w:basedOn w:val="Fontepargpadro"/>
    <w:rsid w:val="00AA714C"/>
  </w:style>
  <w:style w:type="character" w:customStyle="1" w:styleId="vlist-s">
    <w:name w:val="vlist-s"/>
    <w:basedOn w:val="Fontepargpadro"/>
    <w:rsid w:val="00AA714C"/>
  </w:style>
  <w:style w:type="character" w:customStyle="1" w:styleId="mrel">
    <w:name w:val="mrel"/>
    <w:basedOn w:val="Fontepargpadro"/>
    <w:rsid w:val="00AA714C"/>
  </w:style>
  <w:style w:type="character" w:customStyle="1" w:styleId="mopen">
    <w:name w:val="mopen"/>
    <w:basedOn w:val="Fontepargpadro"/>
    <w:rsid w:val="00AA714C"/>
  </w:style>
  <w:style w:type="character" w:customStyle="1" w:styleId="mbin">
    <w:name w:val="mbin"/>
    <w:basedOn w:val="Fontepargpadro"/>
    <w:rsid w:val="00AA714C"/>
  </w:style>
  <w:style w:type="character" w:customStyle="1" w:styleId="mclose">
    <w:name w:val="mclose"/>
    <w:basedOn w:val="Fontepargpadro"/>
    <w:rsid w:val="00AA714C"/>
  </w:style>
  <w:style w:type="character" w:customStyle="1" w:styleId="mop">
    <w:name w:val="mop"/>
    <w:basedOn w:val="Fontepargpadro"/>
    <w:rsid w:val="00AA714C"/>
  </w:style>
  <w:style w:type="character" w:customStyle="1" w:styleId="mpunct">
    <w:name w:val="mpunct"/>
    <w:basedOn w:val="Fontepargpadro"/>
    <w:rsid w:val="00AA714C"/>
  </w:style>
  <w:style w:type="character" w:styleId="TextodoEspaoReservado">
    <w:name w:val="Placeholder Text"/>
    <w:basedOn w:val="Fontepargpadro"/>
    <w:uiPriority w:val="99"/>
    <w:semiHidden/>
    <w:rsid w:val="00AA714C"/>
    <w:rPr>
      <w:color w:val="666666"/>
    </w:rPr>
  </w:style>
  <w:style w:type="table" w:styleId="Tabelacomgrade">
    <w:name w:val="Table Grid"/>
    <w:basedOn w:val="Tabelanormal"/>
    <w:uiPriority w:val="59"/>
    <w:rsid w:val="00AA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A714C"/>
    <w:pPr>
      <w:ind w:left="720"/>
      <w:contextualSpacing/>
    </w:pPr>
  </w:style>
  <w:style w:type="character" w:styleId="MenoPendente">
    <w:name w:val="Unresolved Mention"/>
    <w:basedOn w:val="Fontepargpadro"/>
    <w:uiPriority w:val="99"/>
    <w:semiHidden/>
    <w:unhideWhenUsed/>
    <w:rsid w:val="00AA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6113">
      <w:bodyDiv w:val="1"/>
      <w:marLeft w:val="0"/>
      <w:marRight w:val="0"/>
      <w:marTop w:val="0"/>
      <w:marBottom w:val="0"/>
      <w:divBdr>
        <w:top w:val="none" w:sz="0" w:space="0" w:color="auto"/>
        <w:left w:val="none" w:sz="0" w:space="0" w:color="auto"/>
        <w:bottom w:val="none" w:sz="0" w:space="0" w:color="auto"/>
        <w:right w:val="none" w:sz="0" w:space="0" w:color="auto"/>
      </w:divBdr>
    </w:div>
    <w:div w:id="474219293">
      <w:bodyDiv w:val="1"/>
      <w:marLeft w:val="0"/>
      <w:marRight w:val="0"/>
      <w:marTop w:val="0"/>
      <w:marBottom w:val="0"/>
      <w:divBdr>
        <w:top w:val="none" w:sz="0" w:space="0" w:color="auto"/>
        <w:left w:val="none" w:sz="0" w:space="0" w:color="auto"/>
        <w:bottom w:val="none" w:sz="0" w:space="0" w:color="auto"/>
        <w:right w:val="none" w:sz="0" w:space="0" w:color="auto"/>
      </w:divBdr>
      <w:divsChild>
        <w:div w:id="1593081168">
          <w:marLeft w:val="0"/>
          <w:marRight w:val="0"/>
          <w:marTop w:val="150"/>
          <w:marBottom w:val="150"/>
          <w:divBdr>
            <w:top w:val="none" w:sz="0" w:space="0" w:color="auto"/>
            <w:left w:val="none" w:sz="0" w:space="0" w:color="auto"/>
            <w:bottom w:val="none" w:sz="0" w:space="0" w:color="auto"/>
            <w:right w:val="none" w:sz="0" w:space="0" w:color="auto"/>
          </w:divBdr>
          <w:divsChild>
            <w:div w:id="102773963">
              <w:marLeft w:val="0"/>
              <w:marRight w:val="0"/>
              <w:marTop w:val="0"/>
              <w:marBottom w:val="0"/>
              <w:divBdr>
                <w:top w:val="none" w:sz="0" w:space="0" w:color="auto"/>
                <w:left w:val="none" w:sz="0" w:space="0" w:color="auto"/>
                <w:bottom w:val="none" w:sz="0" w:space="0" w:color="auto"/>
                <w:right w:val="none" w:sz="0" w:space="0" w:color="auto"/>
              </w:divBdr>
            </w:div>
          </w:divsChild>
        </w:div>
        <w:div w:id="1813059142">
          <w:marLeft w:val="0"/>
          <w:marRight w:val="0"/>
          <w:marTop w:val="150"/>
          <w:marBottom w:val="150"/>
          <w:divBdr>
            <w:top w:val="none" w:sz="0" w:space="0" w:color="auto"/>
            <w:left w:val="none" w:sz="0" w:space="0" w:color="auto"/>
            <w:bottom w:val="none" w:sz="0" w:space="0" w:color="auto"/>
            <w:right w:val="none" w:sz="0" w:space="0" w:color="auto"/>
          </w:divBdr>
          <w:divsChild>
            <w:div w:id="94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9155">
      <w:bodyDiv w:val="1"/>
      <w:marLeft w:val="0"/>
      <w:marRight w:val="0"/>
      <w:marTop w:val="0"/>
      <w:marBottom w:val="0"/>
      <w:divBdr>
        <w:top w:val="none" w:sz="0" w:space="0" w:color="auto"/>
        <w:left w:val="none" w:sz="0" w:space="0" w:color="auto"/>
        <w:bottom w:val="none" w:sz="0" w:space="0" w:color="auto"/>
        <w:right w:val="none" w:sz="0" w:space="0" w:color="auto"/>
      </w:divBdr>
      <w:divsChild>
        <w:div w:id="31196233">
          <w:marLeft w:val="0"/>
          <w:marRight w:val="0"/>
          <w:marTop w:val="0"/>
          <w:marBottom w:val="0"/>
          <w:divBdr>
            <w:top w:val="none" w:sz="0" w:space="0" w:color="auto"/>
            <w:left w:val="none" w:sz="0" w:space="0" w:color="auto"/>
            <w:bottom w:val="none" w:sz="0" w:space="0" w:color="auto"/>
            <w:right w:val="none" w:sz="0" w:space="0" w:color="auto"/>
          </w:divBdr>
          <w:divsChild>
            <w:div w:id="2049983703">
              <w:marLeft w:val="0"/>
              <w:marRight w:val="60"/>
              <w:marTop w:val="0"/>
              <w:marBottom w:val="0"/>
              <w:divBdr>
                <w:top w:val="none" w:sz="0" w:space="0" w:color="auto"/>
                <w:left w:val="none" w:sz="0" w:space="0" w:color="auto"/>
                <w:bottom w:val="none" w:sz="0" w:space="0" w:color="auto"/>
                <w:right w:val="none" w:sz="0" w:space="0" w:color="auto"/>
              </w:divBdr>
              <w:divsChild>
                <w:div w:id="1545755487">
                  <w:marLeft w:val="0"/>
                  <w:marRight w:val="0"/>
                  <w:marTop w:val="0"/>
                  <w:marBottom w:val="120"/>
                  <w:divBdr>
                    <w:top w:val="single" w:sz="6" w:space="0" w:color="C0C0C0"/>
                    <w:left w:val="single" w:sz="6" w:space="0" w:color="D9D9D9"/>
                    <w:bottom w:val="single" w:sz="6" w:space="0" w:color="D9D9D9"/>
                    <w:right w:val="single" w:sz="6" w:space="0" w:color="D9D9D9"/>
                  </w:divBdr>
                  <w:divsChild>
                    <w:div w:id="451365649">
                      <w:marLeft w:val="0"/>
                      <w:marRight w:val="0"/>
                      <w:marTop w:val="0"/>
                      <w:marBottom w:val="0"/>
                      <w:divBdr>
                        <w:top w:val="none" w:sz="0" w:space="0" w:color="auto"/>
                        <w:left w:val="none" w:sz="0" w:space="0" w:color="auto"/>
                        <w:bottom w:val="none" w:sz="0" w:space="0" w:color="auto"/>
                        <w:right w:val="none" w:sz="0" w:space="0" w:color="auto"/>
                      </w:divBdr>
                    </w:div>
                    <w:div w:id="1388606202">
                      <w:marLeft w:val="0"/>
                      <w:marRight w:val="0"/>
                      <w:marTop w:val="0"/>
                      <w:marBottom w:val="0"/>
                      <w:divBdr>
                        <w:top w:val="none" w:sz="0" w:space="0" w:color="auto"/>
                        <w:left w:val="none" w:sz="0" w:space="0" w:color="auto"/>
                        <w:bottom w:val="none" w:sz="0" w:space="0" w:color="auto"/>
                        <w:right w:val="none" w:sz="0" w:space="0" w:color="auto"/>
                      </w:divBdr>
                      <w:divsChild>
                        <w:div w:id="581335054">
                          <w:marLeft w:val="0"/>
                          <w:marRight w:val="0"/>
                          <w:marTop w:val="0"/>
                          <w:marBottom w:val="0"/>
                          <w:divBdr>
                            <w:top w:val="none" w:sz="0" w:space="0" w:color="auto"/>
                            <w:left w:val="none" w:sz="0" w:space="0" w:color="auto"/>
                            <w:bottom w:val="none" w:sz="0" w:space="0" w:color="auto"/>
                            <w:right w:val="none" w:sz="0" w:space="0" w:color="auto"/>
                          </w:divBdr>
                          <w:divsChild>
                            <w:div w:id="1950089370">
                              <w:marLeft w:val="0"/>
                              <w:marRight w:val="0"/>
                              <w:marTop w:val="0"/>
                              <w:marBottom w:val="0"/>
                              <w:divBdr>
                                <w:top w:val="none" w:sz="0" w:space="0" w:color="auto"/>
                                <w:left w:val="none" w:sz="0" w:space="0" w:color="auto"/>
                                <w:bottom w:val="none" w:sz="0" w:space="0" w:color="auto"/>
                                <w:right w:val="none" w:sz="0" w:space="0" w:color="auto"/>
                              </w:divBdr>
                              <w:divsChild>
                                <w:div w:id="11398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11676">
          <w:marLeft w:val="0"/>
          <w:marRight w:val="0"/>
          <w:marTop w:val="0"/>
          <w:marBottom w:val="0"/>
          <w:divBdr>
            <w:top w:val="none" w:sz="0" w:space="0" w:color="auto"/>
            <w:left w:val="none" w:sz="0" w:space="0" w:color="auto"/>
            <w:bottom w:val="none" w:sz="0" w:space="0" w:color="auto"/>
            <w:right w:val="none" w:sz="0" w:space="0" w:color="auto"/>
          </w:divBdr>
          <w:divsChild>
            <w:div w:id="583300640">
              <w:marLeft w:val="60"/>
              <w:marRight w:val="0"/>
              <w:marTop w:val="0"/>
              <w:marBottom w:val="0"/>
              <w:divBdr>
                <w:top w:val="none" w:sz="0" w:space="0" w:color="auto"/>
                <w:left w:val="none" w:sz="0" w:space="0" w:color="auto"/>
                <w:bottom w:val="none" w:sz="0" w:space="0" w:color="auto"/>
                <w:right w:val="none" w:sz="0" w:space="0" w:color="auto"/>
              </w:divBdr>
              <w:divsChild>
                <w:div w:id="1537427612">
                  <w:marLeft w:val="0"/>
                  <w:marRight w:val="0"/>
                  <w:marTop w:val="0"/>
                  <w:marBottom w:val="0"/>
                  <w:divBdr>
                    <w:top w:val="none" w:sz="0" w:space="0" w:color="auto"/>
                    <w:left w:val="none" w:sz="0" w:space="0" w:color="auto"/>
                    <w:bottom w:val="none" w:sz="0" w:space="0" w:color="auto"/>
                    <w:right w:val="none" w:sz="0" w:space="0" w:color="auto"/>
                  </w:divBdr>
                  <w:divsChild>
                    <w:div w:id="1240484548">
                      <w:marLeft w:val="0"/>
                      <w:marRight w:val="0"/>
                      <w:marTop w:val="0"/>
                      <w:marBottom w:val="120"/>
                      <w:divBdr>
                        <w:top w:val="single" w:sz="6" w:space="0" w:color="F5F5F5"/>
                        <w:left w:val="single" w:sz="6" w:space="0" w:color="F5F5F5"/>
                        <w:bottom w:val="single" w:sz="6" w:space="0" w:color="F5F5F5"/>
                        <w:right w:val="single" w:sz="6" w:space="0" w:color="F5F5F5"/>
                      </w:divBdr>
                      <w:divsChild>
                        <w:div w:id="955522812">
                          <w:marLeft w:val="0"/>
                          <w:marRight w:val="0"/>
                          <w:marTop w:val="0"/>
                          <w:marBottom w:val="0"/>
                          <w:divBdr>
                            <w:top w:val="none" w:sz="0" w:space="0" w:color="auto"/>
                            <w:left w:val="none" w:sz="0" w:space="0" w:color="auto"/>
                            <w:bottom w:val="none" w:sz="0" w:space="0" w:color="auto"/>
                            <w:right w:val="none" w:sz="0" w:space="0" w:color="auto"/>
                          </w:divBdr>
                          <w:divsChild>
                            <w:div w:id="15923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8739">
      <w:bodyDiv w:val="1"/>
      <w:marLeft w:val="0"/>
      <w:marRight w:val="0"/>
      <w:marTop w:val="0"/>
      <w:marBottom w:val="0"/>
      <w:divBdr>
        <w:top w:val="none" w:sz="0" w:space="0" w:color="auto"/>
        <w:left w:val="none" w:sz="0" w:space="0" w:color="auto"/>
        <w:bottom w:val="none" w:sz="0" w:space="0" w:color="auto"/>
        <w:right w:val="none" w:sz="0" w:space="0" w:color="auto"/>
      </w:divBdr>
    </w:div>
    <w:div w:id="1520924878">
      <w:bodyDiv w:val="1"/>
      <w:marLeft w:val="0"/>
      <w:marRight w:val="0"/>
      <w:marTop w:val="0"/>
      <w:marBottom w:val="0"/>
      <w:divBdr>
        <w:top w:val="none" w:sz="0" w:space="0" w:color="auto"/>
        <w:left w:val="none" w:sz="0" w:space="0" w:color="auto"/>
        <w:bottom w:val="none" w:sz="0" w:space="0" w:color="auto"/>
        <w:right w:val="none" w:sz="0" w:space="0" w:color="auto"/>
      </w:divBdr>
      <w:divsChild>
        <w:div w:id="437260070">
          <w:marLeft w:val="0"/>
          <w:marRight w:val="0"/>
          <w:marTop w:val="150"/>
          <w:marBottom w:val="150"/>
          <w:divBdr>
            <w:top w:val="none" w:sz="0" w:space="0" w:color="auto"/>
            <w:left w:val="none" w:sz="0" w:space="0" w:color="auto"/>
            <w:bottom w:val="none" w:sz="0" w:space="0" w:color="auto"/>
            <w:right w:val="none" w:sz="0" w:space="0" w:color="auto"/>
          </w:divBdr>
          <w:divsChild>
            <w:div w:id="2427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js.uel.br/revistas/uel/index.php/semexatas/for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js.uel.br/revistas/uel/index.php/semexatas/for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el.br/bibliotecas/wp-content/uploads/2022/03/APOSTILAESTILOAPA.pdf" TargetMode="External"/><Relationship Id="rId5" Type="http://schemas.openxmlformats.org/officeDocument/2006/relationships/footnotes" Target="footnotes.xml"/><Relationship Id="rId15" Type="http://schemas.openxmlformats.org/officeDocument/2006/relationships/hyperlink" Target="https://doi.org/10.5433/1679-0375.2023.v44.47875" TargetMode="External"/><Relationship Id="rId10" Type="http://schemas.openxmlformats.org/officeDocument/2006/relationships/hyperlink" Target="https://apastyle.ap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433/16790375.2023.v44.477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Write here the title of the article in English</vt:lpstr>
    </vt:vector>
  </TitlesOfParts>
  <Company>Toshiba</Company>
  <LinksUpToDate>false</LinksUpToDate>
  <CharactersWithSpaces>5853</CharactersWithSpaces>
  <SharedDoc>false</SharedDoc>
  <HLinks>
    <vt:vector size="18" baseType="variant">
      <vt:variant>
        <vt:i4>6094851</vt:i4>
      </vt:variant>
      <vt:variant>
        <vt:i4>27</vt:i4>
      </vt:variant>
      <vt:variant>
        <vt:i4>0</vt:i4>
      </vt:variant>
      <vt:variant>
        <vt:i4>5</vt:i4>
      </vt:variant>
      <vt:variant>
        <vt:lpwstr>https://doi.org/10.1016/j.jcp.2010.12.032</vt:lpwstr>
      </vt:variant>
      <vt:variant>
        <vt:lpwstr/>
      </vt:variant>
      <vt:variant>
        <vt:i4>1310723</vt:i4>
      </vt:variant>
      <vt:variant>
        <vt:i4>24</vt:i4>
      </vt:variant>
      <vt:variant>
        <vt:i4>0</vt:i4>
      </vt:variant>
      <vt:variant>
        <vt:i4>5</vt:i4>
      </vt:variant>
      <vt:variant>
        <vt:lpwstr>http://www.uel.br/revistas/uel/index.php/semexatas/about/submissions</vt:lpwstr>
      </vt:variant>
      <vt:variant>
        <vt:lpwstr/>
      </vt:variant>
      <vt:variant>
        <vt:i4>7929976</vt:i4>
      </vt:variant>
      <vt:variant>
        <vt:i4>21</vt:i4>
      </vt:variant>
      <vt:variant>
        <vt:i4>0</vt:i4>
      </vt:variant>
      <vt:variant>
        <vt:i4>5</vt:i4>
      </vt:variant>
      <vt:variant>
        <vt:lpwstr>http://www.uel.br/revistas/uel/index.php/semexatas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here the title of the article in English</dc:title>
  <dc:creator>Deel</dc:creator>
  <cp:lastModifiedBy>nromeiro romeiro</cp:lastModifiedBy>
  <cp:revision>2</cp:revision>
  <cp:lastPrinted>2006-12-13T19:30:00Z</cp:lastPrinted>
  <dcterms:created xsi:type="dcterms:W3CDTF">2024-06-27T18:35:00Z</dcterms:created>
  <dcterms:modified xsi:type="dcterms:W3CDTF">2024-06-27T18:35:00Z</dcterms:modified>
</cp:coreProperties>
</file>